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РУКОВОДСТВО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по соблюдению обязательных требований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при осуществлении федерального государственного пробирного надзора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numPr>
          <w:ilvl w:val="0"/>
          <w:numId w:val="1"/>
        </w:numPr>
        <w:ind w:left="0" w:firstLine="0"/>
        <w:jc w:val="center"/>
        <w:spacing w:after="0" w:line="240" w:lineRule="auto"/>
        <w:tabs>
          <w:tab w:val="left" w:pos="425" w:leader="none"/>
        </w:tabs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Общие положения</w:t>
      </w:r>
      <w:r/>
    </w:p>
    <w:p>
      <w:pPr>
        <w:ind w:left="1069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Руководство по соблюдению обязательных требований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осуществлении федерального государственного пробирного надзора (далее – руководство)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разработано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соответствии со статьей 14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Федерального закона </w:t>
        <w:br/>
        <w:t xml:space="preserve">от 31 июля 2020 г. № 247-ФЗ «Об обязательных требованиях в Российской Федерации»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пунктом 5 части 3 статьи 46 Федерального закона </w:t>
        <w:br/>
        <w:t xml:space="preserve">от 31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июля 2020 г.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целях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предупреждения нарушений обязательных требований при осуществлении федерального государственного пробирного надзора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оказания содействия участникам оборота продукции из драгоценных металлов и драгоценных камней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изделий их них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(далее соответственно – ДМ, ДК; а при совместном упоминании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ДМДК)   по соблюден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ию обязательных требований при осуществлении федерального государственного пробирного надзора.  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целей  руководства используются следующие основные понятия: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продукция из ДМДК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ДМ в самородном и аффинированном виде, а также минеральное сырье и продукты его переработки, сплавы, полуфабрикаты, промышленные продукты, продукция, изготовленная из материалов природного или искусственного происхождения с использованием 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азличных видов декоративной обработки, со вставками из ДК; продукция производственно-технического, научного, медицинского назначения, комплектующие детали, приборы, инструменты, оборудование, материалы, химические соединения, лом и отходы пр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оизводства и потребления, содержащие ДМ, монеты; ДК в сыром (естественном) и обработанном виде, их полуфабрикаты, уникальные янтарные образования, приравненные к ДК в установленном законодательством Российской Федерации порядке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ДК, входящие в состав комплектующих деталей, а также приборы, инструменты, оборудование, продукция производственно-технического назначения, содержащая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К, отходы ДК, рекуперированные ДК;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contextualSpacing w:val="0"/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оборот продукции, ювелирных изделий из ДМДК (далее соответственно – оборот ДМДК, ювелирные изделия)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переход права собственности и иных имущественных прав на ДМДК, прием в залог по договорам залога с передачей предмета залога залогодержателю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 исключением случаев, если таким залогодержателем или залогодателем является Центральный банк Российской Федерации, кредитная организация)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изменение физического состояния или содержания ДМДК в любых веществах и материалах при добыче, производстве ДМ, добыче ДК (в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части сортировки, первичной классификации и первичной оценки ДК), последующей обработке (переработке) и использовании ДМДК, перевозка ДМДК и продукции из них, а также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хранение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МДК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(за исключением случаев хранения ценностей в Центральном банке Российской Федерации, кредитной организации)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ввоз в Российскую Федерацию из государств, не входящих в Евразийский экономический союз, и вывоз из Российской Федерации в эти государства ДМДК и сырьевых товаров, содержащих ДМ, перемещение на территор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ию Российской Федерации из государств-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членов Евразийского экономического союза и с территории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эти государства ДМДК и сырьевых товаров, содержащих ДМ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 также случаи приема стандартных и мерных слитков аффинированных ДМ для зачисления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 на 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анковские счета (вклады) в ДМ, на ранее открытые обезличенные металлические счета физических и юридических лиц, случаи выдачи стандартных и мерных слитков аффинированных ДМ со списанием ДМ с банковских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четов (вкладов) в ДМ, с ранее открытых обезличенных металлических счетов физических и юридических лиц;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 оборота ДМДК – юридическое лицо или индивидуальный предприниматель, осуществляющие оборот ДМДК.</w:t>
      </w:r>
      <w:r/>
    </w:p>
    <w:p>
      <w:pPr>
        <w:ind w:firstLine="708"/>
        <w:jc w:val="both"/>
        <w:spacing w:after="0"/>
        <w:tabs>
          <w:tab w:val="left" w:pos="992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Руководство распространяется на участников оборота ДМДК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осуществляющих,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в том числе следующие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операции:</w:t>
      </w:r>
      <w:r>
        <w:rPr>
          <w:color w:val="000000" w:themeColor="text1"/>
          <w:highlight w:val="white"/>
        </w:rPr>
      </w:r>
      <w:r/>
    </w:p>
    <w:p>
      <w:pPr>
        <w:ind w:left="709" w:right="0" w:firstLine="0"/>
        <w:jc w:val="both"/>
        <w:spacing w:after="0"/>
        <w:tabs>
          <w:tab w:val="left" w:pos="1134" w:leader="none"/>
        </w:tabs>
        <w:rPr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добычу ДМДК;</w:t>
      </w:r>
      <w:r>
        <w:rPr>
          <w:highlight w:val="white"/>
        </w:rPr>
      </w:r>
      <w:r/>
    </w:p>
    <w:p>
      <w:pPr>
        <w:ind w:left="992" w:right="0" w:hanging="283"/>
        <w:jc w:val="both"/>
        <w:spacing w:after="0"/>
        <w:tabs>
          <w:tab w:val="left" w:pos="1134" w:leader="none"/>
        </w:tabs>
        <w:rPr>
          <w:rFonts w:asciiTheme="minorHAnsi" w:hAnsiTheme="minorHAnsi" w:eastAsiaTheme="minorHAnsi" w:cstheme="minorBidi"/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производство ДМ (извлечение ДМ из добытых руд, из концентратов,   лома и отходов ДМ) и аффинаж;</w:t>
      </w:r>
      <w:r>
        <w:rPr>
          <w:highlight w:val="white"/>
        </w:rPr>
      </w:r>
      <w:r/>
    </w:p>
    <w:p>
      <w:pPr>
        <w:ind w:left="709" w:right="0" w:firstLine="0"/>
        <w:jc w:val="both"/>
        <w:spacing w:after="0"/>
        <w:tabs>
          <w:tab w:val="left" w:pos="1134" w:leader="none"/>
        </w:tabs>
        <w:rPr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3)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производство ювелирных изделий;</w:t>
      </w:r>
      <w:r>
        <w:rPr>
          <w:highlight w:val="white"/>
        </w:rPr>
      </w:r>
      <w:r/>
    </w:p>
    <w:p>
      <w:pPr>
        <w:ind w:left="709" w:right="0" w:firstLine="0"/>
        <w:jc w:val="both"/>
        <w:spacing w:after="0"/>
        <w:tabs>
          <w:tab w:val="left" w:pos="1134" w:leader="none"/>
        </w:tabs>
        <w:rPr>
          <w:rFonts w:asciiTheme="minorHAnsi" w:hAnsiTheme="minorHAnsi" w:eastAsiaTheme="minorHAnsi" w:cstheme="minorBidi"/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4)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обработку (огранку) ДК; </w:t>
      </w:r>
      <w:r>
        <w:rPr>
          <w:highlight w:val="white"/>
        </w:rPr>
      </w:r>
      <w:r/>
    </w:p>
    <w:p>
      <w:pPr>
        <w:ind w:left="709" w:right="0" w:firstLine="0"/>
        <w:jc w:val="both"/>
        <w:spacing w:after="0"/>
        <w:tabs>
          <w:tab w:val="left" w:pos="1134" w:leader="none"/>
        </w:tabs>
        <w:rPr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обработку (переработку) лома и отходов ДМ;</w:t>
      </w:r>
      <w:r>
        <w:rPr>
          <w:highlight w:val="white"/>
        </w:rPr>
      </w:r>
      <w:r/>
    </w:p>
    <w:p>
      <w:pPr>
        <w:ind w:left="709" w:right="0" w:firstLine="0"/>
        <w:jc w:val="both"/>
        <w:spacing w:after="0"/>
        <w:tabs>
          <w:tab w:val="left" w:pos="1134" w:leader="none"/>
        </w:tabs>
        <w:rPr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6)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рекуперацию ДК;</w:t>
      </w:r>
      <w:r>
        <w:rPr>
          <w:highlight w:val="white"/>
        </w:rPr>
      </w:r>
      <w:r/>
    </w:p>
    <w:p>
      <w:pPr>
        <w:ind w:left="992" w:right="0" w:hanging="283"/>
        <w:jc w:val="both"/>
        <w:spacing w:after="0"/>
        <w:tabs>
          <w:tab w:val="left" w:pos="1134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7)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торговлю продукцией из ДМДК (оптовую, розничную, комиссионную, включая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маркетплейсы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интернет-торговлю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);</w:t>
      </w:r>
      <w:r>
        <w:rPr>
          <w:highlight w:val="white"/>
        </w:rPr>
      </w:r>
      <w:r/>
    </w:p>
    <w:p>
      <w:pPr>
        <w:ind w:left="992" w:right="0" w:hanging="283"/>
        <w:jc w:val="both"/>
        <w:spacing w:after="0"/>
        <w:tabs>
          <w:tab w:val="left" w:pos="1134" w:leader="none"/>
        </w:tabs>
        <w:rPr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8)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изготовление ювелирных изделий по индивидуальному заказу населения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 ремонт;</w:t>
      </w:r>
      <w:r>
        <w:rPr>
          <w:highlight w:val="white"/>
        </w:rPr>
      </w:r>
      <w:r/>
    </w:p>
    <w:p>
      <w:pPr>
        <w:ind w:left="709" w:right="0" w:firstLine="0"/>
        <w:jc w:val="both"/>
        <w:spacing w:after="0"/>
        <w:tabs>
          <w:tab w:val="left" w:pos="1134" w:leader="none"/>
        </w:tabs>
        <w:rPr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9)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скупку ДМДК;</w:t>
      </w:r>
      <w:r>
        <w:rPr>
          <w:highlight w:val="white"/>
        </w:rPr>
      </w:r>
      <w:r/>
    </w:p>
    <w:p>
      <w:pPr>
        <w:ind w:left="709" w:right="0" w:firstLine="0"/>
        <w:jc w:val="both"/>
        <w:spacing w:after="0"/>
        <w:tabs>
          <w:tab w:val="left" w:pos="1134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10)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ломбардную деятельность.</w:t>
      </w:r>
      <w:r>
        <w:rPr>
          <w:highlight w:val="white"/>
        </w:rPr>
      </w:r>
      <w:r/>
    </w:p>
    <w:p>
      <w:pPr>
        <w:ind w:left="708" w:firstLine="0"/>
        <w:jc w:val="both"/>
        <w:spacing w:after="0"/>
        <w:tabs>
          <w:tab w:val="left" w:pos="992" w:leader="none"/>
        </w:tabs>
        <w:rPr>
          <w:color w:val="000000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Руководство не распространяется на:</w:t>
      </w:r>
      <w:r>
        <w:rPr>
          <w:color w:val="000000" w:themeColor="text1"/>
          <w:highlight w:val="white"/>
        </w:rPr>
      </w:r>
      <w:r/>
    </w:p>
    <w:p>
      <w:pPr>
        <w:ind w:firstLine="708"/>
        <w:jc w:val="both"/>
        <w:spacing w:after="0"/>
        <w:tabs>
          <w:tab w:val="left" w:pos="992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а) кредитные организации (банки) и Центральный банк Российской Федерации;</w:t>
      </w:r>
      <w:r/>
    </w:p>
    <w:p>
      <w:pPr>
        <w:ind w:firstLine="708"/>
        <w:jc w:val="both"/>
        <w:spacing w:after="0"/>
        <w:tabs>
          <w:tab w:val="left" w:pos="992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б) организации, использующие в своей деятельности химические соединения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для проведения анализов;</w:t>
      </w:r>
      <w:r/>
    </w:p>
    <w:p>
      <w:pPr>
        <w:ind w:firstLine="708"/>
        <w:jc w:val="both"/>
        <w:spacing w:after="0"/>
        <w:tabs>
          <w:tab w:val="left" w:pos="992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в) организации, осуществляющие куплю-продажу и (или) использование готовых форм фармацевтической, парфюмерной и косметической продукции, содержащей химические соединения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М;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г) образовательные организации,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спользующие в своей деятельности химические соединения ДМ при осуществлении образовательных процессов;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д) организации, осуществляющие куплю-продажу и (или) использование серебросодержащих фотопластинок, фото- и кинопленки, фотобумаги и 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очих светочувствительных фотоматериалов;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е) организации, осуществляющие куплю-продажу и (или) использование лакокрасочной продукции, содержащей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М;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ж) медицинские организации, осуществляющие армирование нитями из ДМ, уста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навливающие имплантаты, искусственные зубы, зубные протезы, протезные приспособления, а также использующие стоматологические цементы и другие стоматологические пломбировочные материалы, содержащие ДМ или изготовленные из них;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з) организаци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и, использующие машины и оборудование, приборы, инструменты, электронную технику, пускорегулирующие устройства и устройства автоматики, электрические устройства, комплектующие детали, узлы, содержащие ДМ,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 исключением организаций, использующих изготовленные из ДМ и их сплавов стеклоплавильные устройства, тигли, катализаторные сетки, лабораторную посуду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и) организации, использующие для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емонта машин и оборудования, приборов, инструментов, электронной техники, пускорегулирующих устройств и устройств автоматики, электрических устройств химические соединения, сплавы, припои, содержащие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М;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к) организации, осуществляющие купл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ю-продажу и (или) использующие в своей деятельности инструменты и (или) изделия производственно-технического назначения, содержащие природные алмазы;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л) органы государственной власти;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м) юридических лиц и индивидуальных предпринимателей, осуществляющих тор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говлю изделиями, изготовленными из недрагоценных металлов с покрытием из ДМ.</w:t>
      </w:r>
      <w:r>
        <w:rPr>
          <w:rFonts w:ascii="Times New Roman" w:hAnsi="Times New Roman" w:eastAsia="Times New Roman" w:cs="Times New Roman"/>
          <w:sz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1176"/>
        <w:ind w:left="0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2. Постановка на специальный учет и снятие со специального учета,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br/>
        <w:t xml:space="preserve">а также изменение сведений в карте специального учета участника оборота ДМДК в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государственной интегрированной информационной системе в сфере контроля за оборо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том ДМДК и изделий из них на всех этапах этого оборота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/>
    </w:p>
    <w:p>
      <w:pPr>
        <w:ind w:left="1429"/>
        <w:jc w:val="center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left="-170" w:firstLine="709"/>
        <w:jc w:val="both"/>
        <w:spacing w:after="0"/>
        <w:rPr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Обязательным условием для осуществления оборота ДМДК является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постановка участников оборота ДМДК на специальный учет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юридических лиц и индивидуальных предпринимателей, осуществляющих операции с ДМДК (далее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специальный учет)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в Федеральной пробирной палате посредством государственной интегрированной информационной системы в сфере контроля за оборо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том ДМДК и изделий из них на всех этапах этого оборота (далее - ГИИС ДМДК).</w:t>
      </w:r>
      <w:bookmarkStart w:id="0" w:name="_GoBack"/>
      <w:r/>
      <w:bookmarkEnd w:id="0"/>
      <w:r/>
      <w:r/>
    </w:p>
    <w:p>
      <w:pPr>
        <w:ind w:firstLine="709"/>
        <w:jc w:val="both"/>
        <w:spacing w:after="0"/>
        <w:rPr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течение 30 календарных дней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с даты государственной регистрации участника оборота ДМДК в Едином государственном реестре юридических лиц (далее – ЕГРЮЛ)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Едином государственном реестре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индивидуальных предпринимателей (далее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ЕГРИП) или с даты заявления в ЕГРЮЛ или ЕГРИП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о добавлении кодов экономической деятельности (далее – коды ОКВЭД), связанных с производством, использованием и обращением ДМ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ДК</w:t>
      </w:r>
      <w:bookmarkStart w:id="1" w:name="gjdgxs"/>
      <w:r>
        <w:rPr>
          <w:highlight w:val="white"/>
        </w:rPr>
      </w:r>
      <w:bookmarkEnd w:id="1"/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 участники оборота ДМДК заполняют форму карты постановки на специальный учет </w:t>
        <w:br/>
        <w:t xml:space="preserve">(далее – карта специального учета), а также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копии документов, подтверждающих наличие  принадлежащих им на праве собственности или на ином законном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основании зданий, сооружений, помещений (части зданий, сооружений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помещений) (далее – документы о владении помещением)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через личный кабинет в ГИИС ДМДК. </w:t>
      </w:r>
      <w:r>
        <w:rPr>
          <w:highlight w:val="white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Решение о постановке на специальный учет 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частника оборота ДМДК принимается территориальным органом Федеральной пробирной палаты (далее – территориальный орган) в срок, не превышающий 15 календарных дней со дня получения территориальным органом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карты специального учета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документов о владении помещением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и направляется в личный кабинет участника оборота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ДМДК в ГИИС ДМДК.</w:t>
      </w:r>
      <w:r>
        <w:rPr>
          <w:rFonts w:ascii="Times New Roman" w:hAnsi="Times New Roman" w:eastAsia="Times New Roman" w:cs="Times New Roman"/>
          <w:color w:val="000000"/>
          <w:sz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получения доступа к личному кабинету в ГИИС ДМДК участ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нику оборота ДМДК необходимо подать заявку о регистрации в ГИ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 ДМД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на официальном сайте оператора ГИИС ДМДК в информационно-телекоммуникационной сети «Интернет» (далее – сеть «Интернет»). Такая заявка формируется в форме электронного документа в автоматическом режиме с использованием данных об участнике оборота ДМДК, хр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анящихся на электронном носителе усиленной квалифицированной электронной подписи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– УКЭП) участника оборота ДМДК.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 кодах ОКВЭД, номере телефона, адресе электронной почты, лицах, имеющих право без доверенности действовать от имени юридического лица, 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чредителях (участниках) и бенефициарных владельцах, применяемой системе налогообложения, адресах мест фактического осуществления деятельности и территориальных обособленных подразделений вносится участниками оборота ДМДК в заявку самостоятельно.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изменении сведений,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содержащихся в карте специального учета, участник оборота ДМДК в течение 5 рабочих дней заполняет в личном кабинете ГИИС ДМДК форму о внесении соответствующих изменений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карту специального учета.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Основания для снятия со специального учета:</w:t>
      </w:r>
      <w:r>
        <w:rPr>
          <w:highlight w:val="white"/>
        </w:rPr>
      </w:r>
      <w:r/>
    </w:p>
    <w:p>
      <w:pPr>
        <w:ind w:firstLine="709"/>
        <w:jc w:val="both"/>
        <w:spacing w:after="0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а) получение от участника оборота ДМДК заявления о снятии со специального учета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 выписки из ЕГРЮЛ или ЕРГИП, подтверждающей прекращение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участником оборота ДМДК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экономической деятельности, связанной с производством, переработкой и обр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ащением ДМДК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/>
    </w:p>
    <w:p>
      <w:pPr>
        <w:ind w:firstLine="709"/>
        <w:jc w:val="both"/>
        <w:spacing w:after="0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б) ликвидация юридического лица или прекращение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физическим лицом деятельности в качестве индивидуального предпринимателя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/>
    </w:p>
    <w:p>
      <w:pPr>
        <w:ind w:firstLine="709"/>
        <w:jc w:val="both"/>
        <w:spacing w:after="0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в) 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52"/>
          <w:highlight w:val="white"/>
        </w:rPr>
        <w:t xml:space="preserve">смерть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инд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ивидуального предпринимателя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en-US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участника оборота ДМДК;</w:t>
      </w:r>
      <w:r>
        <w:rPr>
          <w:highlight w:val="white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56"/>
          <w:szCs w:val="56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непредс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тавление (несвоевременное представление)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 течение </w:t>
        <w:br/>
        <w:t xml:space="preserve">30 календарных дней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участником оборота ДМДК информации о внесении изменений в реестр специального учета</w:t>
      </w:r>
      <w:r>
        <w:rPr>
          <w:rStyle w:val="1160"/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footnoteReference w:id="2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 </w:t>
      </w:r>
      <w:r>
        <w:rPr>
          <w:highlight w:val="white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д) наличие неснятой (непогашенной) судимости за совершение преступления в сфере экономики у лица, которое осуществляет полномочия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единоличного исполнительного органа либо является бенефициарным владельцем юридического лица, или у физического лица, зарегистрированного в качестве индивидуального предпринимателя;</w:t>
      </w:r>
      <w:r>
        <w:rPr>
          <w:highlight w:val="white"/>
        </w:rPr>
      </w:r>
      <w:r/>
    </w:p>
    <w:p>
      <w:pPr>
        <w:ind w:firstLine="709"/>
        <w:jc w:val="both"/>
        <w:spacing w:after="0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е) истечение сроков действия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документов о владении помещением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для осуществления операций с ДМДК, и непредставление сведений о продлении срока действия таких документов либо новых документов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 владении помещением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для осуществления операций с ДМДК.</w:t>
      </w:r>
      <w:r>
        <w:rPr>
          <w:highlight w:val="white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При снятии участника оборота ДМДК со специального учета доступ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br/>
        <w:t xml:space="preserve">к операциям в ГИИС ДМДК для всех пользователей участника оборота ДМДК блокируется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рием и отправка спецификаций такого участника оборота ДМДК не допускаются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в ГИИС ДМДК.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случае снятия со специального учета (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за исключением пунктов  «г» и «д» настоящего раздела руководства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 участник оборота ДМДК предоставляет недостающие документы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карту специального учета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 До момента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восстановления регистрации участника оборота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ДМДК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в реестре специального учета операции по обороту ДМДК осуществляться не могут.</w:t>
      </w:r>
      <w:r>
        <w:rPr>
          <w:highlight w:val="white"/>
        </w:rPr>
      </w:r>
      <w:r/>
    </w:p>
    <w:p>
      <w:pPr>
        <w:ind w:firstLine="709"/>
        <w:jc w:val="both"/>
        <w:spacing w:after="0"/>
        <w:rPr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случае оформления заявления от участника оборота ДМДК о снятии со специального учета участнику оборота ДМДК необходимо исполнить все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обязательства перед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другими участниками оборота ДМДК (далее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контрагентами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 по ранее заключенным договорам или контрактам и отразить соответствующие операции в ГИИС ДМДК до подачи заявления о снятии со специального учета.</w:t>
      </w:r>
      <w:r>
        <w:rPr>
          <w:highlight w:val="white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Ведение деятельности, связанной с осуществлением операций с ДМ и (или) ДК, без постановки на специальный учет в федеральном органе исполнительной власти, осуществляющем федеральный государственный пробирный надзор, если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такая постановка является обязательной влечет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наложение административного штрафа (часть 1 ста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тьи 15.43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Кодекса об административных правонарушениях Российской Федерации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(далее – КоАП РФ) на: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индивидуальных предпринимателей – в размере от 80 тысяч до 100 тысяч рублей;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юридических лиц – в размере от 120 тысяч до 140 тысяч рублей.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Нарушение установленного срока представления заполненной в личном кабинете ГИИС ДМДК формы о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несении изменений в карту специального учета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влечет наложение административного штрафа (часть 2 статьи 15.43 КоАП РФ) на: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индивидуальных предпринимателей – в размере от 30 тысяч до 50 тысяч рублей;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юридических лиц – в размере от 60 тысяч до 80 тысяч руб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лей.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Пример соблюдения обязательных требований при постановке на специальный учет: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ИП Иванов П.С. прошел государственную регистрацию в налоговом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гане в качестве индивидуального предпринимателя 01.09.2022, заявив в качестве основного кода ОКВЭД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en-US"/>
        </w:rPr>
        <w:t xml:space="preserve">[47.77.2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en-US"/>
        </w:rPr>
        <w:t xml:space="preserve">] 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highlight w:val="none"/>
        </w:rPr>
        <w:t xml:space="preserve">торговля розничная ювелирными изделиями из золота в специализированных магазинах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10.09.2022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ИП Иванов П.С. направил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заявку о регистрации в ГИ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 ДМДК на официальном сайте оператора ГИИС ДМДК в сети «Интернет».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13.09.2022 через личный кабинет в ГИИС ДМДК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ИП Иванов П.С. направил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заявление о постановке на специальный учет в территориальный орган, а также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документы о владении помещением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в котором будет осуществляться фактическая деятельность.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21.09.2022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ИП Иванову П.С.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в личном кабинете ГИИС ДМДК поступило уведомление, направленное территориальным органом, о постановке на специальный учет и присвоении учетного номера в реестре специального учета.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firstLine="709"/>
        <w:jc w:val="both"/>
        <w:spacing w:after="0"/>
        <w:rPr>
          <w:color w:val="000000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Cs w:val="28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3. Лицензируемые виды деятельности</w:t>
      </w:r>
      <w:r/>
    </w:p>
    <w:p>
      <w:pPr>
        <w:pStyle w:val="1176"/>
        <w:ind w:left="1069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осуществления деятельности по скупке у физических лиц ювелирных  изделий, лома таких изделий и деятельности по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бработке (переработке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лома и отходов ДМ (далее – лицензируемые виды деятельности), помимо постановки на специальный учет, необходимо получить лицензию. Подача заявления о получении лицензии или внесении изменений в лицензию осуществляется исключительно в электронном виде через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Единый портал государственных и муниципальных услуг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Лицензионные требования: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а) наличие принадлежащих на праве собственности или ином законном основании зданий, строений, сооружений и помещений (части зданий, строений, сооружений и помещений) в каждом из мест осуществления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лицензируемого вида деятельности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б) наличие принадлежащего на праве собственности или ином законном основании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весоизмерительного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оборудования для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осуществления лицензируемого вида деятельности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в) наличие не менее одного работника, имеющего соответствующее образование</w:t>
      </w:r>
      <w:r>
        <w:rPr>
          <w:rStyle w:val="1160"/>
          <w:rFonts w:ascii="Times New Roman" w:hAnsi="Times New Roman" w:eastAsia="Times New Roman" w:cs="Times New Roman"/>
          <w:color w:val="000000"/>
          <w:sz w:val="28"/>
          <w:szCs w:val="28"/>
        </w:rPr>
        <w:footnoteReference w:id="3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г) наличие системы учета, хранения и обеспечения сохранности ДМ.</w:t>
      </w:r>
      <w:r/>
    </w:p>
    <w:p>
      <w:pPr>
        <w:pStyle w:val="1176"/>
        <w:ind w:left="0" w:firstLine="709"/>
        <w:jc w:val="both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Осуществление предпринимательской деятельности без специального разрешения (лицензии), если такое разрешение (такая лицензия) обязательно (обязательна)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влечет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конфискацию изгото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вленной продукции, орудий производства и сырья или без таковой и наложение административного штрафа (часть 2 статьи 14.1 КоАП РФ) на: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граждан – в размере от 2 тысяч до 2,5 тысяч рублей; 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должностных лиц – в размере от 4 тысяч до 5 тысяч рублей; 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юридических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лиц – в размере от 40 тысяч до 50 тысяч рублей.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pStyle w:val="1176"/>
        <w:ind w:left="0" w:firstLine="709"/>
        <w:jc w:val="center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4. Регистрация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именника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изготовителя</w:t>
      </w:r>
      <w:r/>
    </w:p>
    <w:p>
      <w:pPr>
        <w:pStyle w:val="1176"/>
        <w:ind w:left="0" w:firstLine="709"/>
        <w:jc w:val="center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Все ювелирные изделия отечественного производства должны иметь оттиск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именника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производителя. Оборот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ювелирных изделий отечественного производства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без оттиска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именника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запрещен.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Именник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действует в течение календарного года, в котором был зарегистрирован. По окончании срока действия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именника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он подлежит уничтожению изготовителем.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Участники оборота ДМДК, осуществляющие производство (ремонт) ювелирных изде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лий, регистрируют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именник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 ГИИС ДМДК.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Регистрация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именника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производится путем направления заявки посредством личного кабинета ГИИС ДМДК,  подписанной УКЭП участника оборота ДМДК. Заявка о регистрации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именника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присвоении шифра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участнику оборота ДМДК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рассматривается территориал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ьным органом в течение 5 рабочих дней. 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 получения через личный кабинет ГИИС ДМДК шифра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именника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участник оборота ДМДК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представляет в территориальный орган оттиск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именника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полированной пластинке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В случае непредставления шифра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именника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полированной пластинке регистрация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именника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считается незавершенной, и назначенный шифр использоваться не может.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Действия, выражающиеся в переходе права собственности и иных имущественных прав на ДМДК и продукцию из них, в том числе их использование в качестве залога, с нарушением установленных законодательством обязательных требовани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влекут наложение административного штрафа (часть 1 статьи 15.46 КоАП РФ) на: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 – в размере от 80 тысяч до 100 тысяч рублей; 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индивидуальных предпринимателей – в размере от 120 тысяч до 140 тысяч рублей; 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юридическ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их лиц – в размере от 160 тысяч до 180 тысяч рублей.</w:t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Пример соблюдения обязательных требований при регистрации именника производителя: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ООО «Ювелир» зарегистрировало код ОКВЭД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/>
        </w:rPr>
        <w:t xml:space="preserve">[32.12.5] –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производство </w:t>
      </w:r>
      <w:r>
        <w:rPr>
          <w:rFonts w:ascii="Times New Roman" w:hAnsi="Times New Roman" w:eastAsia="Times New Roman" w:cs="Times New Roman"/>
          <w:sz w:val="28"/>
          <w:highlight w:val="none"/>
          <w:lang w:val="ru-RU"/>
        </w:rPr>
        <w:t xml:space="preserve">ювелирных изделий, медалей из ДМДК и внесло соответствующие изменения в реестр специального учета.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highlight w:val="none"/>
          <w:lang w:val="ru-RU"/>
        </w:rPr>
        <w:t xml:space="preserve">В личном кабинете в ГИИС ДМДК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ООО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Ювелир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сформировало и направило заявку о регистрации именника, подписав ее УКЭП.</w:t>
      </w:r>
      <w:r>
        <w:rPr>
          <w:rFonts w:ascii="Times New Roman" w:hAnsi="Times New Roman" w:eastAsia="Times New Roman" w:cs="Times New Roman"/>
          <w:sz w:val="28"/>
          <w:highlight w:val="none"/>
          <w:lang w:val="ru-RU"/>
        </w:rPr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По истечении 3 календарных дней с момента поступления заявки в территориальный орган в личный кабинет в ГИИС ДМДК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ООО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Ювелир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от территориального органа поступило уведомление о регистрации именника и присвоении ему шифра.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Через 5 рабочих дней с момента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регистрации именника и присвоении ему шифра ООО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Ювелир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 представило в территориальный орган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шифр именника на полированной пластине. Статус именника в ГИИС ДМДК «На регистрации» изменен на статус «Утвержденный».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В целях недопущения нарушений обязательных требований при регистрации именника участнику оборота ДМДК,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осуществляющему производство (ремонт) ювелирных изделий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, рекомендуется осуществлять такие виды деятельности после</w:t>
      </w:r>
      <w:r>
        <w:rPr>
          <w:rFonts w:ascii="Times New Roman" w:hAnsi="Times New Roman" w:eastAsia="Times New Roman" w:cs="Times New Roman"/>
          <w:sz w:val="28"/>
          <w:highlight w:val="none"/>
          <w:lang w:val="ru-RU"/>
        </w:rPr>
        <w:t xml:space="preserve"> регистрации именника.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5. Внесение сведений в ГИИС ДМДК</w:t>
      </w:r>
      <w:r/>
    </w:p>
    <w:p>
      <w:pPr>
        <w:ind w:left="1855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 оборота ДМДК направляют сведения по каждому факту (случаю) оборота ДМДК в ГИИС ДМДК с использованием УКЭП.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Направление сведений из учетной информационной системы участника оборота ДМДК в ГИИС ДМДК осуществляется с использованием сервиса интеграции</w:t>
      </w:r>
      <w:r>
        <w:rPr>
          <w:rStyle w:val="1160"/>
          <w:rFonts w:ascii="Times New Roman" w:hAnsi="Times New Roman" w:eastAsia="Times New Roman" w:cs="Times New Roman"/>
          <w:sz w:val="28"/>
          <w:szCs w:val="28"/>
          <w:highlight w:val="white"/>
        </w:rPr>
        <w:footnoteReference w:id="4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или непосредственно вводом сведений в личном кабинете ГИИС ДМДК.</w:t>
      </w:r>
      <w:r>
        <w:rPr>
          <w:highlight w:val="white"/>
        </w:rPr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направляют сведения по каждому факту (случаю) оборота ДМДК в ГИИС ДМДК не позднее 5-го календарного дня со дня его возникновения.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56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56"/>
          <w:highlight w:val="white"/>
        </w:rPr>
        <w:t xml:space="preserve">Сведения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об отгрузке продукции из ДМДК, ювелирных изделий (направление с</w:t>
      </w:r>
      <w:r>
        <w:rPr>
          <w:rFonts w:ascii="Times New Roman" w:hAnsi="Times New Roman" w:eastAsia="Times New Roman" w:cs="Times New Roman"/>
          <w:sz w:val="28"/>
          <w:szCs w:val="56"/>
          <w:highlight w:val="white"/>
        </w:rPr>
        <w:t xml:space="preserve">пецификации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контрагенту</w:t>
      </w:r>
      <w:r>
        <w:rPr>
          <w:rFonts w:ascii="Times New Roman" w:hAnsi="Times New Roman" w:eastAsia="Times New Roman" w:cs="Times New Roman"/>
          <w:sz w:val="28"/>
          <w:szCs w:val="56"/>
          <w:highlight w:val="white"/>
        </w:rPr>
        <w:t xml:space="preserve">) вносятся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ГИИС ДМДК в день фактической отгрузки продукции.</w:t>
      </w:r>
      <w:r>
        <w:rPr>
          <w:rFonts w:ascii="Times New Roman" w:hAnsi="Times New Roman" w:eastAsia="Times New Roman" w:cs="Times New Roman"/>
          <w:sz w:val="28"/>
          <w:szCs w:val="56"/>
          <w:highlight w:val="white"/>
        </w:rPr>
        <w:t xml:space="preserve"> </w:t>
      </w:r>
      <w:r>
        <w:rPr>
          <w:highlight w:val="white"/>
        </w:rPr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Получение продукции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из ДМДК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ювелирных изделий в ГИИС ДМДК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осуществляется путем приема спецификации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от контрагента, но после фактической приемки и проверки на соответствие продукции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из ДМДК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ювел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ирных изделий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(не позднее 5-ти календарных дней после получения продукции 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ювелирных изделий).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 оборота ДМДК, направивший спецификацию, при необходимости вносит изменения (уточненные сведения) в отправленную спецификацию до момента ее принятия контрагентом.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сле принятия спецификации контрагентом внесение изменений (уточненных сведений) в спецификацию не допускается. При необходимости корректировки данных в принятой спецификации участниками оборота ДМДК составляется акт расхождений, который подписывается двумя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сторонами.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едения о продукции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из ДМДК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ювелирных изделиях, вводимых в оборот, направляются в ГИИС ДМДК в день подписания подтверждающего документа, на основании которого продукция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из ДМДК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ювелирные изделия вводятся в оборот (например, залоговый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билет, скупочная квитанция, договор комиссии и другие). </w:t>
      </w:r>
      <w:r>
        <w:rPr>
          <w:highlight w:val="white"/>
        </w:rPr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Участник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направляет сведения в ГИИС ДМДК о реализации ювелирных изделий непосредственно в день розничной продажи ювелирных изделий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Допускается направление сведений в ГИИС ДМДК не позднее 3 календа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рных дней со дня розничной продажи ювелирного изделия.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Ответственность за полноту, достоверность и своевременность направляемых в ГИИС ДМДК сведений несут участники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представляющие эти сведения.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Непредставление сведений, предусмотренных зак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онодательством Российской Федерации о ДМДК, в ГИИС ДМДК в порядке, установленном законодательством Российской Федерации 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ДМДК, влечет наложение административного штрафа (часть 1 ста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тьи 15.47 КоАП РФ) на: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должностных лиц – в размере от 20 тысяч до 50 тысяч рублей; 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индивидуальных предпринимателей – в размере от 30 тысяч до 60 тысяч рублей;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юридических лиц – в размере от 50 тысяч до 80 тысяч рублей.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Пример соблюдения обязательных требований при внесении сведений участниками оборота в ГИИС ДМДК: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соответствии с контрактом ООО «Голд» осуществило отгрузку ювелирных изделий в адрес ООО «Алмаз», направив в день отгрузки в ГИИС ДМДК соответствующую спецификацию.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ООО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Алмаз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получило спецификацию на отгруженные в ее адрес ювелирные изделия раньше их фактического поступления.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день фактического поступления ювелирных изделий ООО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Алмаз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», сверив данные, указан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ные в спецификации, направленной ООО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Голд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с фактическим наличием, соответствием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уникальных идентификационных номеров (далее – УИН)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наименований, артикулов и веса отгруженных ювелирных изделий, в личном кабинете ГИИС ДМДК приняло направленную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ООО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Голд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спецификацию. Ювелирные изделия перешли в личный кабинет в ГИИС ДМДК  ООО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Алмаз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целях недопущения нарушений обязательных требований при внесении сведений в ГИИС ДМДК участникам оборота ДМДК рекомендуется отслеживать даты поступления (отгрузки) или иные факты оборота ДМДК и вносить сведения о таких фактах в ГИИС ДМДК в срок не позднее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5-го календарного дня с момента их возникновения.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6. Средства идентификации продукции из ДМДК, ювелирных изделий</w:t>
      </w:r>
      <w:r/>
    </w:p>
    <w:p>
      <w:pPr>
        <w:ind w:left="1855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Продукция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из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ювелирные изделия до их ввода в оборот подлежат обязательной идентификации.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Идентификацией продукции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из ДМДК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является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нанесение  идентификационного номера партии на упаковку, этикетку, бирку, ярлык,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кже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документы, сопровождающие продукцию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(товарно-транспортные накл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адные, спецификации, счета-фактуры и т.д.)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Идентификационный номер партии автоматически присваивается продукции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из ДМДК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момент регистрации факта ее оборота в ГИИС ДМДК либо передается оператором ГИИС ДМДК по запросу участника оборота ДМДК.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Каждому стандартному и мерному слитку присваивается УИН.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УИН и идентификационный номер партии состоят из 16 цифр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формируются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автоматически программными средствами ГИИС ДМДК. 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Аффинажная организация осуществляет нанесение УИН и соответствующего ему двухмерного штрихового кода на сертификат мерного или паспорт стандартного слитка аффинированных ДМ.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Каждому ювелир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ному изделию присваивается УИН. Участник оборота ДМДК осуществляет нанесение УИН и соответствующего ему двухмерного штрихового кода на материальный носитель (ярлык или бирку).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УИН и адрес официального сайта Федеральной пробирной палаты в сети «Интернет», на котором осу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ществляется проверка УИН, наносятся на материальный носитель в виде дополнительной бирки или ярлыка, прикрепляемой непосредственно к ювелирному изделию с ценником и биркой или ярлыком, оформленным в соответствии с ОСТ 117-3-002-95.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Пример оформления бирки </w:t>
      </w:r>
      <w:r>
        <w:rPr>
          <w:rFonts w:ascii="Times New Roman" w:hAnsi="Times New Roman" w:cs="Times New Roman"/>
          <w:sz w:val="28"/>
        </w:rPr>
        <w:t xml:space="preserve">ювелирного изделия</w:t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620157" cy="1930642"/>
                <wp:effectExtent l="6350" t="6350" r="6350" b="6350"/>
                <wp:docPr id="1" name="Рисунок 1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5814073" name="" hidden="0"/>
                        <pic:cNvPicPr/>
                        <pic:nvPr isPhoto="0" userDrawn="0"/>
                      </pic:nvPicPr>
                      <pic:blipFill>
                        <a:blip r:embed="rId10"/>
                        <a:srcRect l="0" t="14426" r="21646" b="7212"/>
                        <a:stretch/>
                      </pic:blipFill>
                      <pic:spPr bwMode="auto">
                        <a:xfrm flipH="0" flipV="0">
                          <a:off x="0" y="0"/>
                          <a:ext cx="3620157" cy="19306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85.1pt;height:152.0pt;mso-wrap-distance-left:0.0pt;mso-wrap-distance-top:0.0pt;mso-wrap-distance-right:0.0pt;mso-wrap-distance-bottom:0.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если двухмерный штриховой код, УИН и адрес официального сайта Федеральной пробирной палаты в сети «Интернет» наносится на ценник, прикрепленный непосредственно к такому изделию, дополнительная бирка или ярлык не требуются.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jc w:val="center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highlight w:val="cya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ffffff" w:themeColor="background1" w:fill="ffffff" w:themeFill="background1"/>
        </w:rPr>
        <w:t xml:space="preserve">7. Требования к ювелирным изделиям, произведенным (изготовленным) участниками оборота ДМДК</w:t>
      </w:r>
      <w:r/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highlight w:val="cyan"/>
        </w:rPr>
      </w:pPr>
      <w:r>
        <w:rPr>
          <w:rFonts w:ascii="Times New Roman" w:hAnsi="Times New Roman" w:eastAsia="Times New Roman" w:cs="Times New Roman"/>
          <w:highlight w:val="cyan"/>
        </w:rPr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Ювелирные изделия должны соответствовать установленным в Российской Федерации пробам.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Допускается изготовление ювелирных изделий из золота 583 пробы по заказам физических лиц из принадлежащих им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ювелирных и других изделий из золота указанной пробы.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Ювелирные изделия отечественного производства должны иметь четкий оттиск зарегистрированного в установленном порядке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именника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Не допускается направление на клеймение в территориальный орган произведенных участником оборота ДМДК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ю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велирных изделий </w:t>
      </w:r>
      <w:r>
        <w:rPr>
          <w:rFonts w:ascii="Times New Roman" w:hAnsi="Times New Roman" w:eastAsia="Times New Roman" w:cs="Times New Roman"/>
          <w:sz w:val="28"/>
        </w:rPr>
        <w:t xml:space="preserve">без оттисков именников, кроме ювелирных изделий, подлежащих клеймению совмещенным инструментом (именник и государственное пробирное клеймо), с деформированными оттисками именников или с отсутствие</w:t>
      </w:r>
      <w:r>
        <w:rPr>
          <w:rFonts w:ascii="Times New Roman" w:hAnsi="Times New Roman" w:eastAsia="Times New Roman" w:cs="Times New Roman"/>
          <w:sz w:val="28"/>
        </w:rPr>
        <w:t xml:space="preserve">м какого-либо элемента (знака) в оттиске, с оттисками именника с закончившимся сроком действия или с оттисками незарегистрированных именников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</w:rPr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Ювелирные изделия, представляемые на опробование и клеймение, не должны содержать частей, изготовленных из недрагоценных металлов, за исключением случаев, когда сочетание частей из ДМ с частями из недрагоце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нных металлов предусмотрено конструктивными особенностями ювелирного изделия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и (или) такие части не могут быть изготовлены из ДМ по техническим причинам для их функционального использования либо такие част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и изготавливаются из недрагоценных металлов в целях повышения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u w:val="none"/>
        </w:rPr>
        <w:t xml:space="preserve">износостойкости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ювелирного и другого изделия из ДМ.</w:t>
      </w:r>
      <w:r>
        <w:rPr>
          <w:rFonts w:ascii="Times New Roman" w:hAnsi="Times New Roman" w:eastAsia="Times New Roman" w:cs="Times New Roman"/>
        </w:rPr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К таким  частям относятся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: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а) механизмы авторучек, автокарандашей, зажигалок;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б) перья для пишущих ручек (перьевых насадок), наконечников, клип-зажимов, колец на корпусе и колпачке и других подобных частей пишущих ручек и автокарандашей;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в) механизмы часов, заводных головок часов;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г) клинки (лезвия) ножей, винтовых частей штопоров и других подобных частей столовых приборов, холодного оружия;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д) пружины, пружинный стержень;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е) магнит у замков;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ж) оси шарниров, штифтов, различных крепежей, в</w:t>
      </w:r>
      <w:r>
        <w:rPr>
          <w:rFonts w:ascii="Times New Roman" w:hAnsi="Times New Roman" w:eastAsia="Times New Roman" w:cs="Times New Roman"/>
          <w:sz w:val="28"/>
        </w:rPr>
        <w:t xml:space="preserve">интов, резьбовых соединений, проволочных каркасов;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з) заколки (булавки), используемые при изготовлении брошей, зажимов для галстуков, булавок, значков и других подобных изделий;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и) разъемные застежки-зажимы у значков, нагрудных знаков и других подобных изд</w:t>
      </w:r>
      <w:r>
        <w:rPr>
          <w:rFonts w:ascii="Times New Roman" w:hAnsi="Times New Roman" w:eastAsia="Times New Roman" w:cs="Times New Roman"/>
          <w:sz w:val="28"/>
        </w:rPr>
        <w:t xml:space="preserve">елий.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Ювелирные изделия не должны иметь покрытия из ДМ с подслоем из недрагоценного металла, а также покрытия из недрагоценного металла.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Припои для ювелирных изделий из золота, платины и палладия должны иметь ту же пробу, что и основной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плав, из которого изготовлены указанные изделия.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Допускается наличие в ювелирных изделиях из платины и палладия припоя белого золота 585 и 750 проб.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Припой для ювелирных изделий из серебра должен иметь пробу не ниже 650.</w:t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auto"/>
          <w:sz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Допускается использование специального 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ипоя, не содержащего ДМ, которым спаиваются звенья цепей (браслетов), изготавливаемых на станках-автоматах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 условии обеспечения пробы указанных изделий в пределах установленных проб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auto"/>
          <w:sz w:val="28"/>
        </w:rPr>
      </w:r>
      <w:r/>
    </w:p>
    <w:p>
      <w:pPr>
        <w:ind w:firstLine="709"/>
        <w:jc w:val="both"/>
        <w:spacing w:after="0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8. Требования к правилам продажи ювелирных изделий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br/>
        <w:t xml:space="preserve">по договору розничной купли-продажи</w:t>
      </w:r>
      <w:r/>
    </w:p>
    <w:p>
      <w:pPr>
        <w:ind w:left="1855"/>
        <w:jc w:val="center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велирные изделия, произведенные в Российской Федерации, за исключением ювелирных изделий из серебра, и ювелирных изделий, ввезенных в Российскую Федерацию для продажи, подлежат опробованию и клеймению государственным пробирным клеймом.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Клеймение ювелирных изделий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 серебра,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произведенных в Российской Федерации,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осуществляется в добровольном порядке, в связи с чем допускается продажа таких изделий без оттиска государственного пробирного клейма.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Продажа ювелирных изделий, произведенны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 в Российской Федерации, ввезенных на ее территорию, подлежащих опробованию, анализу и клеймению, осуществляется только при наличии на этих изделиях оттисков государственных пробирных клейм, оттисков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именников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(для изделий,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произведенных в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Продажа ограненных ДК осуществляется только при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наличии сертификата на каждый такой камень.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 предлагаемых к продаже ювелирных изделиях,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 также об ограненных ДК должна содержать извлечения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 нормативных правовых актов, устанавливающих порядок опробования, анализа и клейме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ния ювелирных изделий, и сертификации ДК.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если ДК, закрепленный в ювелирном изделии, подвергся обработке, изменившей качественно-цветовые характеристики ДК, на ярлыках ювелирных изделий должна быть 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казана информация вместе с наименованием вставок ДК – «облагороженный».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если вставка, закрепленная в ювелирном изделии, состоит из двух и более частей, соединенных скрепляющим веществом, одна и (или) более из которых относится к 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на ярлыках ювелирных изделий должна быть указана информация вместе с наименованием вставки – «составной», а также наименование части (частей) вставки, относящихся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 ДК.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использовании наименования природного минерала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ля обозначения вставок из материалов искусственного происхождения, закрепленных в ювелирных изделиях из ДМ, на ярлыках ювелирных изделий должна быть указана информация вместе с наименованием вставок – «синтетический (выращенный)» или «ими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тация».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передаче потребителю приобретенного товара продавец проверяет соответствие ювелирного изделия данным, указанным на ярлыке, а для ограненных ДК - соответствие сертификату на каждый ограненный ДК.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требованию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потребителя в его присутствии проводится взвешивание приобретенного ювелирного изделия с применением средств измерений, находящихся в исправном состоянии и соответствующих требованиям законодательства Российской Федерации об обеспечении единства измерений.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Ювелирные изделия, а также ограненные ДК должны иметь потребительскую упаковку.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Действия, выражающиеся в переходе права собственности и иных имущественных прав на ДМДК и продукцию из них, в том числе их использование в качестве залога, с нарушением установленных законодательством обязательных требовани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влекут наложение административного штрафа (часть 1 статьи 15.46 КоАП РФ) на: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 – в размере от 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 тысяч до 100 тысяч рублей;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индивидуальных предпринимателей – в размере от 120 тысяч до 140 тысяч рублей;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юридических лиц – в размере от 160 тысяч до 180 тысяч рублей.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Пример соблюдения обязательных требований при реализации ювелирных изделий по договору розничной купли-продажи: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Гражданин Петров С.И. (далее – потребитель) при посещении ювелирного магазина ООО «Сильвер» выбрал для приобретения ювелирное изделие в виде кулона из золота 585 пробы.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 оформлении договора купли-продажи, потребитель усомнился в весе выбранного ювелирного изделия, а также его пробе, указанных на ярлыке этого изделия.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Продавец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ювелирного магазина ООО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Сильвер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осуществил взвешивание ювелирного изделия,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выбранного потребителем, с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использованием весового оборудования (прошедшего калибровку в соответствии с законодательством Российской Федерации о единстве измерений), а также осуществил проверку этого изделия по УИН на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официальном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сайте Федеральной пробирной палаты в сети «Интернет».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 результатам проведенного взвешивания и проверки УИН на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официальном сайте Федеральной пробирной палаты в сети «Интернет» информация, указанная на ярлыке ювелирного изделия, полностью подтвердилась.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целях недопущения нарушения обязательных требований при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реализации ювелирных изделий по договору розничной купли-продажи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участнику оборота ДМДК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sz w:val="28"/>
          <w:highlight w:val="none"/>
        </w:rPr>
        <w:t xml:space="preserve">ри передаче приобретенного товара потребителю рекомендуется проверять соответствие ювелирного изделия данным, указанным на ярлыке, а для ограненных ДК - соответствие сертификату на каждый ограненный ДК.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ind w:firstLine="709"/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Пример сертификата, выданного на ДК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48997" cy="5343434"/>
                <wp:effectExtent l="0" t="0" r="0" b="0"/>
                <wp:docPr id="2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962598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4548997" cy="5343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58.2pt;height:420.7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9. Требования к аффинажным организациям</w:t>
      </w:r>
      <w:r/>
    </w:p>
    <w:p>
      <w:pPr>
        <w:pStyle w:val="1176"/>
        <w:ind w:left="0" w:firstLine="709"/>
        <w:jc w:val="center"/>
        <w:spacing w:after="0"/>
        <w:rPr>
          <w:rFonts w:ascii="Times New Roman" w:hAnsi="Times New Roman" w:eastAsia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  <w:r/>
    </w:p>
    <w:p>
      <w:pPr>
        <w:pStyle w:val="1176"/>
        <w:ind w:left="0" w:firstLine="709"/>
        <w:jc w:val="center"/>
        <w:spacing w:after="0"/>
        <w:rPr>
          <w:rFonts w:ascii="Times New Roman" w:hAnsi="Times New Roman" w:eastAsia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</w:r>
      <w:r/>
    </w:p>
    <w:p>
      <w:pPr>
        <w:pStyle w:val="1176"/>
        <w:ind w:left="0" w:firstLine="709"/>
        <w:jc w:val="both"/>
        <w:spacing w:after="0" w:line="283" w:lineRule="auto"/>
        <w:rPr>
          <w:rFonts w:ascii="Times New Roman" w:hAnsi="Times New Roman" w:eastAsia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Аффинаж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ДМ осуществляется только специализированными организациями (далее – аффинажные организации), включенными в Перечень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5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В отношении аффинажных  организаций установлен режим постоянного государственного контроля (надзора).</w:t>
      </w:r>
      <w:r/>
    </w:p>
    <w:p>
      <w:pPr>
        <w:pStyle w:val="1176"/>
        <w:ind w:left="0" w:firstLine="709"/>
        <w:jc w:val="both"/>
        <w:spacing w:after="0" w:line="283" w:lineRule="auto"/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Осуществление аффинажа юридическими лицами, не включенными в </w:t>
      </w:r>
      <w:hyperlink r:id="rId12" w:tooltip="consultantplus://offline/ref=48599087EBD0898B006B6A4EC43CA6A2AF9C82A08EEF92BD77FBB9FB53816AE443E9D4B78B202697A7CCA2EECF54750616D22BA9m7H" w:history="1">
        <w:r>
          <w:rPr>
            <w:rFonts w:ascii="Times New Roman" w:hAnsi="Times New Roman" w:cs="Times New Roman" w:eastAsiaTheme="minorHAnsi"/>
            <w:sz w:val="28"/>
            <w:szCs w:val="28"/>
            <w:lang w:eastAsia="en-US"/>
          </w:rPr>
          <w:t xml:space="preserve">Перечень</w:t>
        </w:r>
      </w:hyperlink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, не допускается.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r/>
    </w:p>
    <w:p>
      <w:pPr>
        <w:pStyle w:val="1176"/>
        <w:ind w:left="0" w:firstLine="709"/>
        <w:jc w:val="both"/>
        <w:spacing w:after="0" w:line="283" w:lineRule="auto"/>
        <w:rPr>
          <w:rFonts w:ascii="Times New Roman" w:hAnsi="Times New Roman" w:cs="Times New Roman" w:eastAsiaTheme="minorHAnsi"/>
          <w:sz w:val="28"/>
          <w:szCs w:val="28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</w: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  <w:t xml:space="preserve">Осуществление деятельности по очистке извлеченных ДМ от примесей и сопутствующих химических элементов с доведением содержания ДМ до значений, установленных законодательством Российской Федерации или превышающих их (аффина</w:t>
      </w: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  <w:t xml:space="preserve">ж), юридическими лицами, не включенными в Перечень,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индивидуальными предпринимателями или гражданами влечет наложение административного штрафа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(част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 1 статьи 15.45 КоАП РФ)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на: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r/>
    </w:p>
    <w:p>
      <w:pPr>
        <w:pStyle w:val="1176"/>
        <w:ind w:left="0" w:firstLine="709"/>
        <w:jc w:val="both"/>
        <w:spacing w:after="0" w:line="283" w:lineRule="auto"/>
        <w:rPr>
          <w:rFonts w:ascii="Times New Roman" w:hAnsi="Times New Roman" w:cs="Times New Roman" w:eastAsiaTheme="minorHAnsi"/>
          <w:sz w:val="28"/>
          <w:szCs w:val="28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граждан – в размере от одной второй до полуторакратного размера стоимости ДМ, явившихся предметом административного правонарушения, с их конфискацией; </w:t>
      </w:r>
      <w:r/>
    </w:p>
    <w:p>
      <w:pPr>
        <w:pStyle w:val="1176"/>
        <w:ind w:left="0" w:firstLine="709"/>
        <w:jc w:val="both"/>
        <w:spacing w:after="0" w:line="283" w:lineRule="auto"/>
        <w:rPr>
          <w:rFonts w:ascii="Times New Roman" w:hAnsi="Times New Roman" w:cs="Times New Roman" w:eastAsiaTheme="minorHAnsi"/>
          <w:sz w:val="28"/>
          <w:szCs w:val="28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индивидуальных предпринимателей – в размере от двукратн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ого до трехкратного размера стоимости ДМ, явившихся предметом административного правонарушения, с их конфискацией; </w:t>
      </w:r>
      <w:r/>
    </w:p>
    <w:p>
      <w:pPr>
        <w:pStyle w:val="1176"/>
        <w:ind w:left="0" w:firstLine="709"/>
        <w:jc w:val="both"/>
        <w:spacing w:after="0" w:line="283" w:lineRule="auto"/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юридических лиц – в размере от трехкратного до четырехкратного размера стоимости ДМ, явившихся предметом административного правонарушения, с их конфискацией.</w:t>
      </w:r>
      <w:r/>
    </w:p>
    <w:p>
      <w:pPr>
        <w:pStyle w:val="1176"/>
        <w:ind w:left="0" w:firstLine="709"/>
        <w:jc w:val="both"/>
        <w:spacing w:after="0" w:line="283" w:lineRule="auto"/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</w: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  <w:t xml:space="preserve">Уклонение от обязательной сдачи на аффинаж или обязательной продажи государству добытых из недр, полученных из вторичного сырья, а также поднятых и найденных ДМ или ДК, если это деяние совершено в крупном размере (свыше</w:t>
      </w: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  <w:t xml:space="preserve"> 2, 25 млн рублей</w:t>
      </w: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  <w:t xml:space="preserve">) -</w:t>
      </w: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</w:r>
      <w:r/>
    </w:p>
    <w:p>
      <w:pPr>
        <w:pStyle w:val="1176"/>
        <w:ind w:left="0" w:firstLine="709"/>
        <w:jc w:val="both"/>
        <w:spacing w:after="0" w:line="283" w:lineRule="auto"/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</w: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  <w:t xml:space="preserve">н</w:t>
      </w: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  <w:t xml:space="preserve">аказывается штрафом в размере до 200 тысяч рублей или в размере заработной платы или иного дохода осужденного за период до 18 месяцев, либо принудительными работами на срок до 5 лет, либо арестом на срок до 6 месяцев, либо лишением сво</w:t>
      </w: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  <w:t xml:space="preserve">боды на срок до 5 лет</w:t>
      </w: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  <w:t xml:space="preserve"> (статья 192 Уголовного кодекса Российской Федерации).</w:t>
      </w: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cs="Times New Roman" w:eastAsiaTheme="minorHAnsi"/>
          <w:sz w:val="28"/>
          <w:szCs w:val="28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cs="Times New Roman" w:eastAsiaTheme="minorHAnsi"/>
          <w:sz w:val="28"/>
          <w:szCs w:val="28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cs="Times New Roman" w:eastAsiaTheme="minorHAnsi"/>
          <w:sz w:val="28"/>
          <w:szCs w:val="28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</w:r>
      <w:r/>
    </w:p>
    <w:p>
      <w:pPr>
        <w:pStyle w:val="1176"/>
        <w:ind w:left="0" w:firstLine="709"/>
        <w:jc w:val="both"/>
        <w:spacing w:after="0"/>
        <w:rPr>
          <w:rFonts w:ascii="Times New Roman" w:hAnsi="Times New Roman" w:cs="Times New Roman" w:eastAsiaTheme="minorHAnsi"/>
          <w:sz w:val="28"/>
          <w:szCs w:val="28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</w:r>
      <w:r>
        <w:rPr>
          <w:rFonts w:ascii="Times New Roman" w:hAnsi="Times New Roman" w:cs="Times New Roman" w:eastAsiaTheme="minorHAnsi"/>
          <w:sz w:val="28"/>
          <w:szCs w:val="28"/>
          <w:highlight w:val="none"/>
          <w:lang w:eastAsia="en-US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10. Особенности осуществления деятельности по скупке ювелирных изделий, а также лома таких изделий</w:t>
      </w:r>
      <w:r>
        <w:rPr>
          <w:highlight w:val="yellow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осуществлении деятельности по скупке у граждан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ювелирных изделий, а также лома таких изделий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оформление квитанции и направление сведений о ней в ГИИС ДМДК является вводом в оборот.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квитанции указываются: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а) наименование юридического лица или фамил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ия и инициалы индивидуального предпринимателя-скупщика;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б) фамилия и инициалы сдатчика ювелирных изделий, с также лома таких изделий с указанием данных документа, удостоверяющего его личность;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в) наименование изделия, частей изделия и их количество, описание оттисков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именника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(для дореволюционных 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делий – оттиска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именника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мастера) и государственного пробирного клейма (для импортных изделий – оттиска импортного клейма);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г) наименование ДМ, проба, масса, договорная цена за грамм и стоимость;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д) наименование ДК, их количество и масса,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договорная цена за карат, стоимость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том числе в отношении: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бриллиантов крупных (от одного карата и выше), средних (от 0,30 до 0,99 карата), изумрудов, сапфиров, рубинов, александритов - также их </w:t>
        <w:br/>
        <w:t xml:space="preserve">размерно-весовая группа, группа цвета и чистоты;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алмазов огранки типа «Роза», бриллиантов мелких (до 0,29 карата) и бриллиантов упрощенной огранки - также их группа цвета и чистоты;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жемчуга природного и культивированного - количество жемчужин и их масса;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е) общая масса изделия;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ж) сумма, подлежащая выплате сдатчику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ювелирных изделий, а также лома таких изделий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После оформления квитанции указанные сведения направляются в ГИИС ДМ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ДК.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Рекомендуется направлять сведения в ГИИС ДМДК в день подписания квитанции.</w:t>
      </w:r>
      <w:r>
        <w:rPr>
          <w:highlight w:val="white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 подлежат скупке: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а) алмазное сырье и полуфабрикаты;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б) ДМ в самородном и аффинированном виде, а также в сырье, сплавах, полуфабрикатах, промышленных продуктах, химических соединениях и отходах производства и потребления;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в) полуфабрикаты ювелирного и зубопротезного производства (кроме коронок и дисков);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г) изделия производственно-технического назначения из золота, платины, палладия и серебра (пластины, проволока, контакты, лабораторная посуда и др.);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д) ДК - рубины, сапфиры, изумруды, александриты, а также природный жемчуг в необработанном виде;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е) ордена и медали, кроме памятных и юбилейных (именных), содержащие ДМ;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ж) изделия, содержащие ДМДК, изъятые из гражданского оборота или ограниченные в обороте (холодное, огнестрельное оружие с отделкой и др.).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11. Особенности осуществления ломбардной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деятельности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Ломбардом является юридическое лицо, зарегистрированное в форме хозяйственного общества, сведения о котором внесены в государственный реестр ломбардов и основными вид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ами деятельности которого являются предоставление краткосрочных займов гражданам (физическим лицам) под залог принадлежащих им движимых вещей (движимого имущества), предназначенных для личного потребления, и хранение вещей.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Ломбарду запрещается заниматься какой-либо иной предпринимательской деятельностью, кроме предоставления кратко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срочных займов гражданам под залог движимых вещей (движимого имущества), принадлежащих заемщику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предназначенных для личного потребления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хранения вещей, сдачи в аренду (субаренду) недвижимого имущества, принадлежащего ломбарду на праве собственности (аренды, субаренды), осуществления деятельност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банковского платежного агента, а также оказания консультационных и информационных услуг.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Ломбард вправе реализовывать невостребованные вещи, на которые обращено взыскание,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путем розничной продажи таких вещей или  продажи с открытых торгов (если сумма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оценки залога превышает 300 тысяч рублей).</w:t>
      </w:r>
      <w:r>
        <w:rPr>
          <w:color w:val="000000" w:themeColor="text1"/>
          <w:highlight w:val="white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случае отсутствия государственного пробирного клейма на ювелирном изделии, его деформации или сомнения в его подлинности такие ювелирные изделия предъявляются ломбардом в территориальный орган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для проведения экспертизы и (или) клеймения.</w:t>
      </w:r>
      <w:r>
        <w:rPr>
          <w:highlight w:val="white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1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. Требования к учету продукции из ДМДК</w:t>
      </w:r>
      <w:r>
        <w:rPr>
          <w:highlight w:val="white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ведут учет ДМДК в соответствии с Правилами учета и хранения драгоценных металлов и драгоценных камней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от 28 сентября 2000 г. </w:t>
        <w:br/>
        <w:t xml:space="preserve">№ 731, и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Инструкцией о порядке учета и хранения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драгоценных металлов, драгоценных камней, продукции из них и ведения отчетности при их производстве, использовании и обращении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утвержденной приказом Минфина России от 9 декабря 2016 г. № 231н.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обязаны вести учет ДМДК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продукции из них (далее – ценности) как являющихся собственностью участника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так и переданных ему на основании различных видов договоров (договор комиссии, договор поставки на реализацию и т.п.) на всех этапах внутренних производственных про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цессов.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highlight w:val="yellow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Учет ценностей производится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перемещении ценностей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 участнику оборота ДМДК в целом,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структурным подразделениям участника оборота ДМДК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цеха, участки, отделы, секторы и т.д)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а также между материально ответственными лицами. </w:t>
      </w:r>
      <w:r>
        <w:rPr>
          <w:highlight w:val="yellow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Учет ДМ осуществляется по наименованию, массе в граммах в пересчете на химически чистый ДМ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содержанию ДМ (пробе), а также по стоимости.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Учет ДК осуществляется по наименованию, массе (в граммах, каратах), качеству (по цвету и чистоте), а также в стоимостном выражении.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Учет ценностей целесообразно осуществл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ять в электронной форме. Учет ценностей может осуществляться также и на бумажных носителях, что потребует перевода информации в цифровой формат при направлении сведений об обороте в ГИИС ДМДК.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Учет ценностей также ведется в составе основных средств, находящихся на балансе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участника оборота ДМДК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основании сведений, указанных в технической документации (паспортах, формулярах, этикетках, руководствах по эксплуатации, справочниках), либо при отсутствии этих сведений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по данным участников оборота ДМДК, разработчиков, изготовителей или комиссионно на основе аналогов, расчетов.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При ведении учета ценностей в электронной форме внесение информации осуществляется с использованием </w:t>
      </w:r>
      <w:r>
        <w:rPr>
          <w:rFonts w:ascii="Times New Roman" w:hAnsi="Times New Roman" w:eastAsia="Times New Roman" w:cs="Times New Roman"/>
          <w:iCs/>
          <w:color w:val="000000" w:themeColor="text1"/>
          <w:sz w:val="28"/>
          <w:szCs w:val="28"/>
        </w:rPr>
        <w:t xml:space="preserve">УКЭП.</w:t>
      </w:r>
      <w:r>
        <w:rPr>
          <w:color w:val="000000" w:themeColor="text1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Ведение учета ценностей осуществляется на основании первичных учетных документов.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В случаях прихода или расхода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ценностей</w:t>
      </w: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 информация вносится после осуществления каждой оп</w:t>
      </w: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ерации с обязательным формированием итогового значения на конец рабочего дня (смены).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Ведение учета ценностей на бумажных носителях осуществляется на основании записей </w:t>
      </w: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в карточках, книгах учета и других документах строгой отчетности по ДМ, по ДК и содержащим их изделиям производятся на основе оформленных в установленном порядке актов (накладных) приемки-передачи основных средств, малоценных </w:t>
      </w: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 быстроизнашивающихся предметов; актов о приемке материалов; инвентарных карточек учета основных средств, малоценных и быстроизнашивающихся предметов; карточек учета материалов; лимитно-заборных карт; требований; накладных; актов выбытия; товарных накладны</w:t>
      </w: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х и других форм первичной документации, при этом записи операций по приходу и расходу ДМДК и ювелирных изделий (без снятия фактического наличия ДМДК) производятся после осуществления каждой опер</w:t>
      </w: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ации с выведением остатка на конец рабочего дня (смены)</w:t>
      </w:r>
      <w:r>
        <w:rPr>
          <w:rFonts w:ascii="Times New Roman" w:hAnsi="Times New Roman" w:eastAsia="Times New Roman" w:cs="Times New Roman"/>
          <w:iCs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каждую номенклатурную позицию, для каждого наименования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вида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 также их размера и назначения оформляется отдельная карточка складского учета,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отдельная строка или отдельная страница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книгах, журналах и иных документах, используемых для ведения учета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которая содержит реквизиты, характеризующие учитываемые ценности, а именно: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а) по ДМ – наименование (золото, серебро, платина, родий, палладий, иридий, рутений, осмий), вид, размер (длина, ширина, 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лщина, диаметр), проба или процентное содержание в растворе, сплаве, масса химически чистых металлов и (или) общая масса сплава, соли, кислоты или других химических соединений, содержащих ДМ, номер партии;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б) по ДК – наименов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ание, качественные (цвет и чистота) и размерно-весовые характеристики, форма огранки и количество в штуках (для обработанных ДК), масса в каратах, а для сырья ДК (кроме алмазов) – масса в граммах;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в) для ювелирных изделий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наименование ювелирного изделия, количество, артикул, в том числе: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ДМ – дополнительно указывается наименование ДМ, его масса и проба;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ДК – дополнительно указывается наименовани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е, количество, масса, характеристики ДК на основании данных из технической документации изготовителя, а также способ обработки, изменивший качественные, цветовые и стоимостные характеристики ДК, кроме огранки.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Поступающие 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частнику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посылки с ценностями регистрируются в день их поступления.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Вскрытие посылок и прием ценностей производится материально ответственным лицом в присутствии комиссии (далее – комиссия по приему ценностей), состав которой определен приказом руководителя юридического лица-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либо индивидуальным предпринимателем-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ота ДМДК,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сроки, установленные участником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Результаты приемки оформляются приемным актом (приходным ордером), в котором указываются название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юридического лица-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поставщика, номер и дата сопроводительного документа, а также все реквизиты учитываемых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ценностей. 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В приемном акте (приходном ордере) указываются фактическое колич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ество и масса поступивших ДМ (общая масса и масса химически чистого ДМ) и ДК, а также наличие расхождений с данными сопроводительных документов.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Приемный акт (приходный ордер) подписывается материально ответственным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лицом и заверяется подписями членов комиссии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приему ценностей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Первый экземпляр приемного акта (приходного ордера) передается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бухгалтерию, копия приемного акта (приходного ордера) остается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 материально ответственного лица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Учет ценностей, находящихся у подотчетных лиц, ведется на основании первичных учетных документов, в которых отражаются все необходимые реквизиты учитываемых ценностей, даты выдачи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сдачи их в места хранения.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Передача ценностей между структурными подразделениями участника оборота ДМДК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цехами, участками, отделами, секторами и т.д)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(или) материально ответственными  лицами осуществляется по применяемым участником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первичным учетным документам с указанием в них количества и массы переданных цен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ностей.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Формы первичных учетных документов определяет руководитель участника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представлению должностного лица, на которое возложено ведение бухгалтерского учета. 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Нарушение правил учета ценностей, непредставление отчетности по установленным законодательством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формам о движении ДМДК в любом виде, состоянии либо представление отчетнос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ти, содержащей недостоверные сведения о фактическом расходе ДМДК, или непредставление информации, предусмотренной законодательством Российской Федерации о </w:t>
        <w:br/>
        <w:t xml:space="preserve">ДМДК, в ГИИС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порядке, установленном законодательством Российской Федерации о ДМДК,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влечет наложение административного штрафа (часть 1 статьи 15.47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КоАП РФ)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на: 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должностных лиц – в размер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от 20 тысяч до 50 рублей; 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индивидуальных предпринимателей – в размере от 30 тысяч до 60 тысяч рублей; 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юридических лиц – в размере от 50 тысяч до 80 тысяч рублей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highlight w:val="white"/>
        </w:rPr>
      </w:r>
      <w:bookmarkStart w:id="2" w:name="_30j0zll"/>
      <w:r>
        <w:rPr>
          <w:highlight w:val="white"/>
        </w:rPr>
      </w:r>
      <w:bookmarkEnd w:id="2"/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white"/>
        </w:rPr>
        <w:t xml:space="preserve">1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white"/>
        </w:rPr>
        <w:t xml:space="preserve">. Инвентаризация ценностей</w:t>
      </w:r>
      <w:r>
        <w:rPr>
          <w:highlight w:val="white"/>
        </w:rPr>
      </w:r>
      <w:r/>
    </w:p>
    <w:p>
      <w:pPr>
        <w:ind w:left="1855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Инвентаризаци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ценностей (далее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инвентаризация) проводится на основании приказа участника оборота ДМДК, которым утверждается состав инвентаризационной комиссии (не включаются в состав материально ответственные лица), сроки начала и окончания, а также порядок проведения инвентаризации.</w:t>
      </w:r>
      <w:r/>
    </w:p>
    <w:p>
      <w:pPr>
        <w:ind w:firstLine="709"/>
        <w:jc w:val="both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Основания для проведения инвентаризации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/>
    </w:p>
    <w:p>
      <w:pPr>
        <w:ind w:firstLine="709"/>
        <w:jc w:val="both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а) смена материально ответственных лиц;</w:t>
      </w:r>
      <w:r/>
    </w:p>
    <w:p>
      <w:pPr>
        <w:ind w:firstLine="709"/>
        <w:jc w:val="both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б) выявление фактов хищения, злоупотребления или порчи имущества;</w:t>
      </w:r>
      <w:r/>
    </w:p>
    <w:p>
      <w:pPr>
        <w:ind w:firstLine="709"/>
        <w:jc w:val="both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в) стихийное бедствие, пожар или другая чрезвычайная ситуация, вызванная экстремальными условиями;</w:t>
      </w:r>
      <w:r/>
    </w:p>
    <w:p>
      <w:pPr>
        <w:ind w:firstLine="709"/>
        <w:jc w:val="both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г) реорганизация или ликвидация юридического, прекращение физическим лицом деят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ельности в качестве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/>
    </w:p>
    <w:p>
      <w:pPr>
        <w:ind w:firstLine="709"/>
        <w:jc w:val="both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д) один раз в год (по состоянию на 1 января года, следующего за отчетным).</w:t>
      </w:r>
      <w:r/>
    </w:p>
    <w:p>
      <w:pPr>
        <w:ind w:firstLine="708"/>
        <w:jc w:val="both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Инвентаризация может проводится также в иных случаях, предусмотренных законодательством Российской Федерации.</w:t>
      </w:r>
      <w:r/>
    </w:p>
    <w:p>
      <w:pPr>
        <w:ind w:firstLine="708"/>
        <w:jc w:val="both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Инвентаризация проводится в следующем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порядке:</w:t>
      </w:r>
      <w:r/>
    </w:p>
    <w:p>
      <w:pPr>
        <w:ind w:firstLine="708"/>
        <w:jc w:val="both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 Издание приказа участника оборота ДМДК о проведении инвентаризации.</w:t>
      </w:r>
      <w:r/>
    </w:p>
    <w:p>
      <w:pPr>
        <w:ind w:firstLine="708"/>
        <w:jc w:val="both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Получение расписки от материально ответственных лиц о полной сдаче документов о приходе и расходе ценностей в бухгалтерию, а также об отсутств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ии неучтенных ценностей.</w:t>
      </w:r>
      <w:r/>
    </w:p>
    <w:p>
      <w:pPr>
        <w:ind w:firstLine="708"/>
        <w:jc w:val="both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Инвентаризационная комиссия вносит сведения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инвентаризационные описи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фактического наличия ценностей по каждому их отдельному наименованию.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Инвентаризационная опись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составляется в 2-х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экземплярах.</w:t>
      </w:r>
      <w:r/>
    </w:p>
    <w:p>
      <w:pPr>
        <w:ind w:firstLine="708"/>
        <w:jc w:val="both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4. По окончании инвентаризации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инвентаризационные описи (акты) фактического наличия ценностей по каждому материально ответственному лицу передаются в бухгалтерию для сличения фактических данных с данными бу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хгалтерского учета.</w:t>
      </w:r>
      <w:r>
        <w:rPr>
          <w:highlight w:val="white"/>
        </w:rPr>
      </w:r>
      <w:r/>
    </w:p>
    <w:p>
      <w:pPr>
        <w:ind w:firstLine="709"/>
        <w:jc w:val="both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5. При выявлении отклонений от данных бухгалтерского учета  составляется сличительная ведомость. Инвентаризационная комиссия проверяет правильность составления сличительных ведомостей.</w:t>
      </w:r>
      <w:r>
        <w:rPr>
          <w:highlight w:val="white"/>
        </w:rPr>
      </w:r>
      <w:r/>
    </w:p>
    <w:p>
      <w:pPr>
        <w:ind w:firstLine="709"/>
        <w:jc w:val="both"/>
        <w:spacing w:after="0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6. По всем от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клонениям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 данных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бухгалтерского учета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инвентаризационн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ой комиссией должны быть получены от соответствующих материально ответственных лиц письменные объяснения. На основании представленных объяснений и материалов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инвентаризации инвентаризационная комиссия определяет характер и причины выявленных отклонений от данных бухгалтерско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 учета и вносит свои заключения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предложения по их урегулированию, которые фиксируются в протоколе, утверждаемом руководителем участника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Инвентаризация проводится во всех местах хранения и использования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ценностей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проведением технологи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ческой зачистки помещений и оборудования. 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Инвентаризации подлежат все имеющиеся в наличии ценности, включая ценности,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находящиеся на ответственном хранении, а также ранее не учтенные.</w:t>
      </w:r>
      <w:r/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 крупных юридических лиц-участников оборота ДМДК создается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центральная инвентаризационная комиссия и рабочие комиссии.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Рабочие комиссии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обеспечивают проведение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инвентаризации в отдельных подразделениях.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Деятельность рабочих комиссий организуется и кон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тролируется центральной инвентаризационной комиссией.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/>
    </w:p>
    <w:p>
      <w:pPr>
        <w:ind w:firstLine="540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время проведения инвентаризации операции по приему и отпуску ценностей приостанавливаются.</w:t>
      </w:r>
      <w:r/>
    </w:p>
    <w:p>
      <w:pPr>
        <w:ind w:firstLine="540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длительном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проведении инвентаризации ценности могут отпускаться материально ответственными лицами в прис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утствии членов инвентаризационной комиссии только с письменного разрешения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руководителя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юридического лица-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участника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 или индивидуального предпринимателя-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ценности заносятся в отдельную опись, а в расходных документах делается отметка за подписью председателя инвентаризационной комиссии.</w:t>
      </w:r>
      <w:r/>
    </w:p>
    <w:p>
      <w:pPr>
        <w:ind w:firstLine="540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Ценнос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ти, поступающие во время проведения инвентаризации, принимаются материально ответственными лицами в присутствии членов инвентаризационной комиссии и заносятся в отдельную опись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инвентаризационную опись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не включаются. Опис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прилагаются 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инвентаризационной описи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акту).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426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случаях, когда инвентаризация не может быть закончена в один день, допускается начало ее до первого числа месяца, а окончание после первого числа месяца. Результаты в этих случаях подлежат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орректировке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состоянию на первое число месяца. Если инвентаризация не закончена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тот же день, помещения при уходе инвентаризационной комиссии опечатываются печатями материально ответственного лица и председателя инвентаризационной комиссии.</w:t>
      </w:r>
      <w:r/>
    </w:p>
    <w:p>
      <w:pPr>
        <w:ind w:firstLine="540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Инвентари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зационная комиссия отражает результаты инвентаризации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отдельно по местам хранения и (или) использования ценностей, и материально ответственным лицам.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Инвентаризационная комиссия обеспечивает полноту и достоверность внесения в инвентаризационные описи (акты) данных 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фактическом наличии ценностей, правильность и своевременность оформления материалов инвен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таризации.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Фактическое наличие ценностей при инвентаризации определяется путем обязательного взвешивания, подсчета, обмера,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отбора и анализа проб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Ценности предъявляются инвентаризационной комиссии материально ответственным лицом.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 о ценностях,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 также ломе и отходах ДМДК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переданных в другие юридические лица в обработку (переработку) или находящихся в пути, но числя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щихся на учете участника оборота ДМДК, заносятся в отдельную опись,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где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указыва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тся наименование участника оборота ДМДК, наименование ценностей, количество, масса ДК, общая масса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масса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пересчете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массу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химически чистых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дата передачи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реквизиты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документов.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Имеющиеся на момент проведения инвентаризации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распакованные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посылки с ценностями подлежат оформлению в отдельную опись по количеству без вскрытия членами инвентаризационной комиссии.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 о ценностях, не 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инадлежащих участнику оборота ДМДК (находящихся на ответственном хранении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 принятых в залог,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полученных для реализации,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переработки, испытаний, анализов, экспертиз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), заносятся в отдельную инвентаризационную опись (акт).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Инвентаризационные описи (акты) могут быть выполнены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использованием средств вычислительной и другой организационной техники,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информационной системы участника оборота ДМДК или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ручным способом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Наименования инвентаризуемых ценностей указывают в инвентаризационной описи (акте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по номенклатуре, а их количество и массу в единицах измерения, принятых в учете.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инвентаризационные описи (акты) заносятся данные о массе ДМ в сплавах и массе химически чистых ДМ.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каждо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странице инвентаризационной описи (акта) указывается прописью число порядковых номеров ценностей и общий итог количества в натуральных показателях, записанных на данной странице, вне зависимости от того, в каких единицах измерения эти ценн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ости показаны.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Инвентаризационные описи (акты) подписывают все члены инвентаризационной комиссии и материально ответственные лица. В конце инвентаризационной описи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(акта) материально ответственные лица дают расписку, подтверждающую проверку инвентаризационной комиссией ценностей в их присутствии, об отсутствии  каких-либо претензий и принятии перечисленных в инвента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ризационной описи (акте) ценностей на ответственное хранение.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ценности, не принадлежащие участнику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но числящиеся в бухгалтерском учете (находящиеся на ответственном хранении или принятые в залог, полученные для реализации,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переработки, испытаний, анализов, экспертиз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), составляются отдельны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сличительные ведомости, результаты инвентаризации сообщаются владельцам ценностей, выявленные расхождения регулируются совместно владельцами ценностей с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руководителя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юридических лиц-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 или индивидуальными предпринимателями-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участниками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Результаты инвентаризации должны быть отражены в учете в сроки,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установленные </w:t>
      </w: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локальными документами (приказами, распоряжениями и т.п.)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участника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разработанными с учетом специфики его деятельности.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 выявлении расхождений между фактическими и учетными данными устанавливаются причины их возникновения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виновные в этом лица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злишки ценност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ей подлежат оприходованию (пос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тановке на бухгалтерский учет), 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едостачи в пределах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утвержденных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норм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списываются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потери производства. 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достачи при отсутствии утвержденных норм потерь рассматриваются как сверхнормативные потери,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кроме потерь при проведении научно-исследовательских, опытно-конструкторских и ремонтных работ, для которых нормы в отдельных случаях могут не разрабатываться и не утверждаться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Нарушение правил инвентаризации ценностей влечет наложение административного штрафа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часть 2 статьи 15.47 КоАП РФ) на: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должностных лиц – в размере от 40 тысяч до 70 тысяч рублей;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индивидуальных предпринимателей – от 50 тысяч до 80 тысяч рублей;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юридических лиц – от 80 тысяч до 100 тысяч рублей.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ind w:firstLine="709"/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ind w:firstLine="709"/>
        <w:jc w:val="center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Пример заполнения инвентаризационной описи (акта)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10935" cy="3861441"/>
                <wp:effectExtent l="0" t="0" r="0" b="0"/>
                <wp:docPr id="3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092870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rcRect l="0" t="9257" r="0" b="0"/>
                        <a:stretch/>
                      </pic:blipFill>
                      <pic:spPr bwMode="auto">
                        <a:xfrm flipH="0" flipV="0">
                          <a:off x="0" y="0"/>
                          <a:ext cx="6210934" cy="38614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89.0pt;height:304.1pt;mso-wrap-distance-left:0.0pt;mso-wrap-distance-top:0.0pt;mso-wrap-distance-right:0.0pt;mso-wrap-distance-bottom:0.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10935" cy="4584488"/>
                <wp:effectExtent l="0" t="0" r="0" b="0"/>
                <wp:docPr id="4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931244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210934" cy="45844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89.0pt;height:361.0pt;mso-wrap-distance-left:0.0pt;mso-wrap-distance-top:0.0pt;mso-wrap-distance-right:0.0pt;mso-wrap-distance-bottom:0.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10935" cy="3745733"/>
                <wp:effectExtent l="0" t="0" r="0" b="0"/>
                <wp:docPr id="5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710459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rcRect l="0" t="18129" r="0" b="0"/>
                        <a:stretch/>
                      </pic:blipFill>
                      <pic:spPr bwMode="auto">
                        <a:xfrm flipH="0" flipV="0">
                          <a:off x="0" y="0"/>
                          <a:ext cx="6210934" cy="37457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89.0pt;height:294.9pt;mso-wrap-distance-left:0.0pt;mso-wrap-distance-top:0.0pt;mso-wrap-distance-right:0.0pt;mso-wrap-distance-bottom:0.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10935" cy="4152657"/>
                <wp:effectExtent l="0" t="0" r="0" b="0"/>
                <wp:docPr id="6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403084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rcRect l="0" t="12236" r="0" b="0"/>
                        <a:stretch/>
                      </pic:blipFill>
                      <pic:spPr bwMode="auto">
                        <a:xfrm flipH="0" flipV="0">
                          <a:off x="0" y="0"/>
                          <a:ext cx="6210934" cy="41526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89.0pt;height:327.0pt;mso-wrap-distance-left:0.0pt;mso-wrap-distance-top:0.0pt;mso-wrap-distance-right:0.0pt;mso-wrap-distance-bottom:0.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Хранение ценностей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Хранение ценностей, лома и отходов ДМ осуществляется в несгораемых шкафах, металлических ящиках и сейфах, которые должны 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аходиться в помещениях, отвечающих специальным требованиям по технической укрепленности и оборудованию средствами охранной и пожарной сигнализации.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Помещения, где осуществляется хранение ценностей,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лома и отходов ДМ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 также несгораемые шкафы, металлические ящики и сейфы должны по окончании работы закрываться,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опломбироваться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(опечатываться) и сдаваться под охрану.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Вскрытие мест хранения ценностей,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лома и отходов ДМ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производится материально ответственным лицом. В отсутствие материально ответственного лица вскрытие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производится комиссией, назначаемой приказом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руководителя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юридического лица-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 или индивидуального предпринимателя-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 составлением акта вскрытия.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Совместное хранение ценностей,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лома и отходов ДМ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 другими материалами не допускается. При отсутствии отдельных помещений для хранения ценностей,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лома и отходов ДМ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допускается хранение их в одном помещении с другими материалами, но в отдельных несгораемых шкафах, металлических ящиках и сейфах.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обеспе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чения сохранности ценностей,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лома и отходов ДМ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 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производстве, переработке, использовании и обращении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несанкционированный доступ посторонних лиц должен быть исключен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помещения (места), где осуществляется хранение и обработка (разбраковка) ценностей,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лома и отходов ДМ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 также за прилавок.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Условия обеспечения сохранности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ценност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ей,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лома и отходов ДМ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участником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регламентируются инструкциями, разработанными с учетом специфики деятельности участника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утвержденными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руководител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юридического лица-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 или индивидуальным предпринимателем-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лицами, занятыми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производстве, использовании, хранении и транспортировке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ценностей,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лома и отходов ДМ,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заключаются договоры о полной индивидуальной или коллективной (бригадной) материальной ответственности.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Нарушение правил хранения ценностей влечет наложение административного штрафа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часть 2 статьи 15.47 КоАП РФ) на: 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должн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остных лиц – в размере от 40 тысяч до 70 тысяч рублей;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индивидуальных предпринимателей – в размере от 50 тысяч до 80 тысяч рублей;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юридических лиц – в размере от 80 тысяч до 100 тысяч рублей.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Все помещения, в которых производится прием, хранение и отпуск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ценностей, лома и отходов ДМ оснащаются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весоизмерительными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приборами. Весы, разновесы и калибровочные гири ежегодно должны подвергаться калибровке или поверке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Взвешивание производится на весах, обеспечивающих необходимую точность взвешивания: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а) золота, платины, палладия в виде слитков, полуфабрикатов и изделий: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при массе до 1 кг - 0,01 г;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при массе свыше 1 кг - 0,1 г;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б) золота, платины и палладия в виде лома - 0,1 г;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в) серебра в виде изделий - 0,1 г;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г) серебра в виде слитков, полуфабрикатов и лома - 1,0 г.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Масса алмазов и обработанных ДК определяется в каратах на весах, обеспечивающих необходимую точность взвешивания. Погрешность взвешивания в зависимости от взвешиваемой массы должна составлять: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массе до 1000 каратов не более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0,01 карата;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массе от 1000 до 5000 каратов не более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0,04 карата;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массе свыше 5000 каратов не более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0,08 карата.</w:t>
      </w:r>
      <w:r/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Масса ДК в сырье (кроме алмазов) определяется в граммах на весах, обеспечивающих необходимую точность взвешивания. Погрешность взвешивания должна составлять не более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0,01 грамма.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Перевозка ценностей, лома и отходов ДМ осуществляется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сопровождении вооруженной охраны. 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Перевозка ювелирных изделий, за исключением находящихся в собственности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Российской Федерации, субъектов Российской Федерации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 муниципальных образований, может осуществляться без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опровождения вооруженной охраны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 условии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принятия собственником мер по обеспечению сохранности ювелирных изделий и исключению доступа к таким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ювелирным изделиям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посторонних лиц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Нарушение установленных законодательством Российской Федерации обязательных требований при перевозке ценностей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том числе их использование в качестве залога с нарушением установленных законодательством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обязательных требований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влечет наложение административного штрафа (часть 2 статьи 15.46 КоАП РФ) на: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индивидуальных предпринимателей – в размере от 50 тысяч до 70 тысяч рублей; 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юридических лиц – в размере от 70 тысяч до 100 тысяч рублей.</w:t>
      </w:r>
      <w:r/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Ответственность за сох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ранность ценностей, лома и отходов ДМ при перевозке собственными средствами возлагается на участника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оборота ДМДК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851" w:right="707" w:bottom="851" w:left="1418" w:header="708" w:footer="708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Noto Sans Devanagari">
    <w:panose1 w:val="020B0502040504020204"/>
  </w:font>
  <w:font w:name="Wingdings">
    <w:panose1 w:val="05000000000000000000"/>
  </w:font>
  <w:font w:name="PT Sans">
    <w:panose1 w:val="020B0503020203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1158"/>
        <w:ind w:left="0" w:right="1" w:firstLine="0"/>
        <w:jc w:val="both"/>
        <w:rPr>
          <w:rFonts w:ascii="Times New Roman" w:hAnsi="Times New Roman" w:eastAsia="Times New Roman" w:cs="Times New Roman"/>
        </w:rPr>
      </w:pPr>
      <w:r>
        <w:rPr>
          <w:rStyle w:val="1160"/>
        </w:rPr>
        <w:footnoteRef/>
      </w:r>
      <w:r>
        <w:t xml:space="preserve"> </w:t>
      </w:r>
      <w:r>
        <w:rPr>
          <w:rFonts w:ascii="Times New Roman" w:hAnsi="Times New Roman" w:eastAsia="Times New Roman" w:cs="Times New Roman"/>
        </w:rPr>
        <w:t xml:space="preserve">Реестр юридических лиц и индивидуальных предпринимателей, осуществляющих операции с ДМДК, который ведется в</w:t>
      </w:r>
      <w:r>
        <w:rPr>
          <w:rFonts w:ascii="Times New Roman" w:hAnsi="Times New Roman" w:eastAsia="Times New Roman" w:cs="Times New Roman"/>
        </w:rPr>
        <w:t xml:space="preserve"> ГИИС ДМДК</w:t>
      </w:r>
      <w:r>
        <w:rPr>
          <w:rFonts w:ascii="Times New Roman" w:hAnsi="Times New Roman" w:eastAsia="Times New Roman" w:cs="Times New Roman"/>
        </w:rPr>
        <w:t xml:space="preserve">.</w:t>
      </w:r>
      <w:r/>
    </w:p>
  </w:footnote>
  <w:footnote w:id="3">
    <w:p>
      <w:pPr>
        <w:pStyle w:val="1158"/>
        <w:jc w:val="both"/>
        <w:rPr>
          <w:rFonts w:ascii="Times New Roman" w:hAnsi="Times New Roman" w:eastAsia="Times New Roman" w:cs="Times New Roman"/>
          <w:highlight w:val="none"/>
        </w:rPr>
      </w:pPr>
      <w:r>
        <w:rPr>
          <w:rStyle w:val="1160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В</w:t>
      </w:r>
      <w:r>
        <w:rPr>
          <w:rFonts w:ascii="Times New Roman" w:hAnsi="Times New Roman" w:eastAsia="Times New Roman" w:cs="Times New Roman"/>
        </w:rPr>
        <w:t xml:space="preserve">ысшее или среднее профессиональное образование по направлению подготовки «Технологии материалов» или дополнительное профессиональное образование по программе повышения квалификации (не менее 72 часов) в области л</w:t>
      </w:r>
      <w:r>
        <w:rPr>
          <w:rFonts w:ascii="Times New Roman" w:hAnsi="Times New Roman" w:eastAsia="Times New Roman" w:cs="Times New Roman"/>
        </w:rPr>
        <w:t xml:space="preserve">ицензируемой деятельности или имеющего стаж работы в области лицензируемой деятельности не менее одного года (за исключением случая, когда таким работником является индивидуальный предприниматель - лицензиат, представляющий документы в отношении себя</w:t>
      </w:r>
      <w:r>
        <w:rPr>
          <w:rFonts w:ascii="Times New Roman" w:hAnsi="Times New Roman" w:eastAsia="Times New Roman" w:cs="Times New Roman"/>
        </w:rPr>
        <w:t xml:space="preserve">)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ascii="Times New Roman" w:hAnsi="Times New Roman" w:eastAsia="Times New Roman" w:cs="Times New Roman"/>
        </w:rPr>
        <w:t xml:space="preserve">при осуществлении деятельности по обработке (переработке) лома и отходов ДМ).</w:t>
      </w:r>
      <w:r>
        <w:rPr>
          <w:rFonts w:ascii="Times New Roman" w:hAnsi="Times New Roman" w:eastAsia="Times New Roman" w:cs="Times New Roman"/>
          <w:highlight w:val="none"/>
        </w:rPr>
        <w:br/>
        <w:t xml:space="preserve">Высшее образование по направлению подготовки «Товароведение», или среднее профессиональное образование по направлению подготовки «Товароведение и экспертиза качества потребительских товаров», или дополнительное пр</w:t>
      </w:r>
      <w:r>
        <w:rPr>
          <w:rFonts w:ascii="Times New Roman" w:hAnsi="Times New Roman" w:eastAsia="Times New Roman" w:cs="Times New Roman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highlight w:val="none"/>
        </w:rPr>
        <w:t xml:space="preserve">фессиональное образование по программе повышения квалификации (не менее 72 часов) в области лицензируемой деятельности или имеющего стаж работы в области лицензируемой деятельности не менее одного года (за исключением случая, когда таким работником являетс</w:t>
      </w:r>
      <w:r>
        <w:rPr>
          <w:rFonts w:ascii="Times New Roman" w:hAnsi="Times New Roman" w:eastAsia="Times New Roman" w:cs="Times New Roman"/>
          <w:highlight w:val="none"/>
        </w:rPr>
        <w:t xml:space="preserve">я индивидуальный предприниматель - лицензиат, представляющий документы в отношении себя)</w:t>
      </w:r>
      <w:r>
        <w:rPr>
          <w:rFonts w:ascii="Times New Roman" w:hAnsi="Times New Roman" w:eastAsia="Times New Roman" w:cs="Times New Roman"/>
          <w:highlight w:val="none"/>
        </w:rPr>
        <w:t xml:space="preserve"> (при осуществлении деятельности по скупке ювелирных изделий и лома таких изделий).</w:t>
      </w:r>
      <w:r>
        <w:rPr>
          <w:rFonts w:ascii="Times New Roman" w:hAnsi="Times New Roman" w:eastAsia="Times New Roman" w:cs="Times New Roman"/>
          <w:highlight w:val="none"/>
        </w:rPr>
      </w:r>
      <w:r/>
    </w:p>
  </w:footnote>
  <w:footnote w:id="4">
    <w:p>
      <w:pPr>
        <w:pStyle w:val="1158"/>
        <w:jc w:val="both"/>
        <w:rPr>
          <w:rFonts w:ascii="Times New Roman" w:hAnsi="Times New Roman" w:eastAsia="Times New Roman" w:cs="Times New Roman"/>
        </w:rPr>
      </w:pPr>
      <w:r>
        <w:rPr>
          <w:rStyle w:val="1160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Сервис интеграции обеспечивает информационный обмен между информационной системой участника оборота ДМДК и ГИИС ДМДК по принципу обработки очереди сообщений</w:t>
      </w:r>
      <w:r>
        <w:rPr>
          <w:rFonts w:ascii="Times New Roman" w:hAnsi="Times New Roman" w:eastAsia="Times New Roman" w:cs="Times New Roman"/>
        </w:rPr>
        <w:t xml:space="preserve">.</w:t>
      </w:r>
      <w:r/>
    </w:p>
  </w:footnote>
  <w:footnote w:id="5">
    <w:p>
      <w:pPr>
        <w:pStyle w:val="1158"/>
        <w:jc w:val="both"/>
        <w:rPr>
          <w:rFonts w:ascii="Times New Roman" w:hAnsi="Times New Roman" w:eastAsia="Times New Roman" w:cs="Times New Roman"/>
        </w:rPr>
      </w:pPr>
      <w:r>
        <w:rPr>
          <w:rStyle w:val="1160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Перечень организаций, имеющих право осуществлять аффинаж драгоценных металлов, </w:t>
      </w:r>
      <w:r>
        <w:rPr>
          <w:rFonts w:ascii="Times New Roman" w:hAnsi="Times New Roman" w:eastAsia="Times New Roman" w:cs="Times New Roman"/>
          <w:szCs w:val="28"/>
        </w:rPr>
        <w:t xml:space="preserve">утвержденный постановлением Правительства Российской Федерации от 17 августа 1998 г. № 97</w:t>
      </w:r>
      <w:r>
        <w:rPr>
          <w:rFonts w:ascii="Times New Roman" w:hAnsi="Times New Roman" w:eastAsia="Times New Roman" w:cs="Times New Roman"/>
        </w:rPr>
        <w:t xml:space="preserve">2 (далее – Перечень).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  <w:tabs>
        <w:tab w:val="center" w:pos="4677" w:leader="none"/>
        <w:tab w:val="right" w:pos="9355" w:leader="none"/>
      </w:tabs>
      <w:rPr>
        <w:rFonts w:ascii="Times New Roman" w:hAnsi="Times New Roman" w:eastAsia="Times New Roman" w:cs="Times New Roman"/>
        <w:color w:val="000000"/>
        <w:sz w:val="24"/>
        <w:szCs w:val="24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Times New Roman" w:hAnsi="Times New Roman" w:eastAsia="Times New Roman" w:cs="Times New Roman"/>
        <w:color w:val="000000"/>
        <w:sz w:val="24"/>
        <w:szCs w:val="24"/>
      </w:rPr>
      <w:fldChar w:fldCharType="begin"/>
    </w:r>
    <w:r>
      <w:rPr>
        <w:rFonts w:ascii="Times New Roman" w:hAnsi="Times New Roman" w:eastAsia="Times New Roman" w:cs="Times New Roman"/>
        <w:color w:val="000000"/>
        <w:sz w:val="24"/>
        <w:szCs w:val="24"/>
      </w:rPr>
      <w:instrText xml:space="preserve">PAGE</w:instrText>
    </w:r>
    <w:r>
      <w:rPr>
        <w:rFonts w:ascii="Times New Roman" w:hAnsi="Times New Roman" w:eastAsia="Times New Roman" w:cs="Times New Roman"/>
        <w:color w:val="000000"/>
        <w:sz w:val="24"/>
        <w:szCs w:val="24"/>
      </w:rPr>
      <w:fldChar w:fldCharType="separate"/>
    </w:r>
    <w:r>
      <w:rPr>
        <w:rFonts w:ascii="Times New Roman" w:hAnsi="Times New Roman" w:eastAsia="Times New Roman" w:cs="Times New Roman"/>
        <w:color w:val="000000"/>
        <w:sz w:val="24"/>
        <w:szCs w:val="24"/>
      </w:rPr>
      <w:t xml:space="preserve">24</w:t>
    </w:r>
    <w:r>
      <w:rPr>
        <w:rFonts w:ascii="Times New Roman" w:hAnsi="Times New Roman" w:eastAsia="Times New Roman" w:cs="Times New Roman"/>
        <w:color w:val="000000"/>
        <w:sz w:val="24"/>
        <w:szCs w:val="24"/>
      </w:rPr>
      <w:fldChar w:fldCharType="end"/>
    </w:r>
    <w:r/>
  </w:p>
  <w:p>
    <w:pPr>
      <w:spacing w:after="0" w:line="240" w:lineRule="auto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211" w:hanging="360"/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91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7112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576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989" w:hanging="72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3272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7112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576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5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7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9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1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3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5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7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9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19" w:hanging="360"/>
      </w:pPr>
      <w:rPr>
        <w:rFonts w:hint="default" w:ascii="Wingdings" w:hAnsi="Wingdings" w:eastAsia="Wingdings" w:cs="Wingding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7" w:default="1">
    <w:name w:val="Normal"/>
    <w:pPr>
      <w:spacing w:after="200" w:line="276" w:lineRule="auto"/>
    </w:pPr>
    <w:rPr>
      <w:rFonts w:ascii="Calibri" w:hAnsi="Calibri" w:eastAsia="Calibri" w:cs="Calibri"/>
      <w:lang w:eastAsia="ru-RU"/>
    </w:rPr>
  </w:style>
  <w:style w:type="paragraph" w:styleId="728">
    <w:name w:val="Heading 1"/>
    <w:basedOn w:val="727"/>
    <w:next w:val="727"/>
    <w:link w:val="1008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29">
    <w:name w:val="Heading 2"/>
    <w:basedOn w:val="727"/>
    <w:next w:val="727"/>
    <w:link w:val="100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30">
    <w:name w:val="Heading 3"/>
    <w:basedOn w:val="727"/>
    <w:next w:val="727"/>
    <w:link w:val="1010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31">
    <w:name w:val="Heading 4"/>
    <w:basedOn w:val="727"/>
    <w:next w:val="727"/>
    <w:link w:val="101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2">
    <w:name w:val="Heading 5"/>
    <w:basedOn w:val="727"/>
    <w:next w:val="727"/>
    <w:link w:val="101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727"/>
    <w:next w:val="727"/>
    <w:link w:val="101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34">
    <w:name w:val="Heading 7"/>
    <w:basedOn w:val="727"/>
    <w:next w:val="727"/>
    <w:link w:val="101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35">
    <w:name w:val="Heading 8"/>
    <w:basedOn w:val="727"/>
    <w:next w:val="727"/>
    <w:link w:val="101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36">
    <w:name w:val="Heading 9"/>
    <w:basedOn w:val="727"/>
    <w:next w:val="727"/>
    <w:link w:val="101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7" w:default="1">
    <w:name w:val="Default Paragraph Font"/>
    <w:uiPriority w:val="1"/>
    <w:semiHidden/>
    <w:unhideWhenUsed/>
  </w:style>
  <w:style w:type="table" w:styleId="7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9" w:default="1">
    <w:name w:val="No List"/>
    <w:uiPriority w:val="99"/>
    <w:semiHidden/>
    <w:unhideWhenUsed/>
  </w:style>
  <w:style w:type="table" w:styleId="740" w:customStyle="1">
    <w:name w:val="Table Grid Light"/>
    <w:basedOn w:val="73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1">
    <w:name w:val="Plain Table 1"/>
    <w:basedOn w:val="73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2"/>
    <w:basedOn w:val="73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3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4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7" w:customStyle="1">
    <w:name w:val="Grid Table 4 - Accent 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68" w:customStyle="1">
    <w:name w:val="Grid Table 4 - Accent 2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9" w:customStyle="1">
    <w:name w:val="Grid Table 4 - Accent 3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0" w:customStyle="1">
    <w:name w:val="Grid Table 4 - Accent 4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1" w:customStyle="1">
    <w:name w:val="Grid Table 4 - Accent 5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72" w:customStyle="1">
    <w:name w:val="Grid Table 4 - Accent 6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3">
    <w:name w:val="Grid Table 5 Dark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8">
    <w:name w:val="Grid Table 6 Colorful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9">
    <w:name w:val="Grid Table 7 Colorful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2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3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4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5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6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>
    <w:name w:val="List Table 6 Colorful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6">
    <w:name w:val="List Table 7 Colorful"/>
    <w:basedOn w:val="7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Table Grid Light1"/>
    <w:basedOn w:val="73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8" w:customStyle="1">
    <w:name w:val="Grid Table 1 Light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Grid Table 1 Light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Grid Table 1 Light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Grid Table 1 Light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Grid Table 1 Light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Grid Table 2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2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2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2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2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2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3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3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3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3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3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3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4 - Accent 1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36" w:customStyle="1">
    <w:name w:val="Grid Table 4 - Accent 2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37" w:customStyle="1">
    <w:name w:val="Grid Table 4 - Accent 3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38" w:customStyle="1">
    <w:name w:val="Grid Table 4 - Accent 4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39" w:customStyle="1">
    <w:name w:val="Grid Table 4 - Accent 5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40" w:customStyle="1">
    <w:name w:val="Grid Table 4 - Accent 6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41" w:customStyle="1">
    <w:name w:val="Grid Table 5 Dark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42" w:customStyle="1">
    <w:name w:val="Grid Table 5 Dark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43" w:customStyle="1">
    <w:name w:val="Grid Table 5 Dark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44" w:customStyle="1">
    <w:name w:val="Grid Table 5 Dark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45" w:customStyle="1">
    <w:name w:val="List Table 1 Light - Accent 1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2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3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4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5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6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2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52" w:customStyle="1">
    <w:name w:val="List Table 2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57" w:customStyle="1">
    <w:name w:val="List Table 3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3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3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4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4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5 Dark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 w:customStyle="1">
    <w:name w:val="List Table 5 Dark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 w:customStyle="1">
    <w:name w:val="List Table 5 Dark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2" w:customStyle="1">
    <w:name w:val="List Table 5 Dark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3" w:customStyle="1">
    <w:name w:val="List Table 5 Dark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 w:customStyle="1">
    <w:name w:val="List Table 5 Dark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 w:customStyle="1">
    <w:name w:val="Table Grid Light2"/>
    <w:basedOn w:val="73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76" w:customStyle="1">
    <w:name w:val="Grid Table 1 Light - Accent 1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Grid Table 1 Light - Accent 3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Grid Table 1 Light - Accent 4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Grid Table 1 Light - Accent 5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Grid Table 1 Light - Accent 6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Grid Table 2 - Accent 1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2 - Accent 2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2 - Accent 3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2 - Accent 4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2 - Accent 5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2 - Accent 6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3 - Accent 1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3 - Accent 2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3 - Accent 3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3 - Accent 4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3 - Accent 5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3 - Accent 6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4 - Accent 12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94" w:customStyle="1">
    <w:name w:val="Grid Table 4 - Accent 22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95" w:customStyle="1">
    <w:name w:val="Grid Table 4 - Accent 32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96" w:customStyle="1">
    <w:name w:val="Grid Table 4 - Accent 42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97" w:customStyle="1">
    <w:name w:val="Grid Table 4 - Accent 52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98" w:customStyle="1">
    <w:name w:val="Grid Table 4 - Accent 62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99" w:customStyle="1">
    <w:name w:val="Grid Table 5 Dark - Accent 2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900" w:customStyle="1">
    <w:name w:val="Grid Table 5 Dark - Accent 3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901" w:customStyle="1">
    <w:name w:val="Grid Table 5 Dark - Accent 5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902" w:customStyle="1">
    <w:name w:val="Grid Table 5 Dark - Accent 6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903" w:customStyle="1">
    <w:name w:val="List Table 1 Light - Accent 12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List Table 1 Light - Accent 22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1 Light - Accent 32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1 Light - Accent 42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 - Accent 52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62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2 - Accent 1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10" w:customStyle="1">
    <w:name w:val="List Table 2 - Accent 2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11" w:customStyle="1">
    <w:name w:val="List Table 2 - Accent 3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12" w:customStyle="1">
    <w:name w:val="List Table 2 - Accent 4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13" w:customStyle="1">
    <w:name w:val="List Table 2 - Accent 5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14" w:customStyle="1">
    <w:name w:val="List Table 2 - Accent 6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15" w:customStyle="1">
    <w:name w:val="List Table 3 - Accent 1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 w:customStyle="1">
    <w:name w:val="List Table 3 - Accent 2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 w:customStyle="1">
    <w:name w:val="List Table 3 - Accent 3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 w:customStyle="1">
    <w:name w:val="List Table 3 - Accent 4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3 - Accent 5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3 - Accent 6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4 - Accent 1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4 - Accent 2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4 - Accent 3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4 - Accent 4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4 - Accent 5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4 - Accent 6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5 Dark - Accent 1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8" w:customStyle="1">
    <w:name w:val="List Table 5 Dark - Accent 2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9" w:customStyle="1">
    <w:name w:val="List Table 5 Dark - Accent 3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0" w:customStyle="1">
    <w:name w:val="List Table 5 Dark - Accent 4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1" w:customStyle="1">
    <w:name w:val="List Table 5 Dark - Accent 5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2" w:customStyle="1">
    <w:name w:val="List Table 5 Dark - Accent 6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3" w:customStyle="1">
    <w:name w:val="Table Grid Light1"/>
    <w:basedOn w:val="73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34" w:customStyle="1">
    <w:name w:val="Grid Table 1 Light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Grid Table 1 Light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Grid Table 1 Light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 w:customStyle="1">
    <w:name w:val="Grid Table 1 Light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Grid Table 1 Light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Grid Table 2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 w:customStyle="1">
    <w:name w:val="Grid Table 2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 w:customStyle="1">
    <w:name w:val="Grid Table 2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Grid Table 2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Grid Table 2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Grid Table 2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Grid Table 3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Grid Table 3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Grid Table 3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Grid Table 3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Grid Table 3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Grid Table 3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Grid Table 4 - Accent 1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952" w:customStyle="1">
    <w:name w:val="Grid Table 4 - Accent 2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953" w:customStyle="1">
    <w:name w:val="Grid Table 4 - Accent 3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954" w:customStyle="1">
    <w:name w:val="Grid Table 4 - Accent 4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955" w:customStyle="1">
    <w:name w:val="Grid Table 4 - Accent 5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956" w:customStyle="1">
    <w:name w:val="Grid Table 4 - Accent 6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957" w:customStyle="1">
    <w:name w:val="Grid Table 5 Dark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958" w:customStyle="1">
    <w:name w:val="Grid Table 5 Dark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959" w:customStyle="1">
    <w:name w:val="Grid Table 5 Dark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960" w:customStyle="1">
    <w:name w:val="Grid Table 5 Dark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961" w:customStyle="1">
    <w:name w:val="List Table 1 Light - Accent 1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 w:customStyle="1">
    <w:name w:val="List Table 1 Light - Accent 2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List Table 1 Light - Accent 3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List Table 1 Light - Accent 4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List Table 1 Light - Accent 5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List Table 1 Light - Accent 6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List Table 2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68" w:customStyle="1">
    <w:name w:val="List Table 2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69" w:customStyle="1">
    <w:name w:val="List Table 2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70" w:customStyle="1">
    <w:name w:val="List Table 2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71" w:customStyle="1">
    <w:name w:val="List Table 2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72" w:customStyle="1">
    <w:name w:val="List Table 2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73" w:customStyle="1">
    <w:name w:val="List Table 3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4" w:customStyle="1">
    <w:name w:val="List Table 3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 w:customStyle="1">
    <w:name w:val="List Table 3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6" w:customStyle="1">
    <w:name w:val="List Table 3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 w:customStyle="1">
    <w:name w:val="List Table 3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 w:customStyle="1">
    <w:name w:val="List Table 3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 w:customStyle="1">
    <w:name w:val="List Table 4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 w:customStyle="1">
    <w:name w:val="List Table 4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1" w:customStyle="1">
    <w:name w:val="List Table 4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2" w:customStyle="1">
    <w:name w:val="List Table 4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3" w:customStyle="1">
    <w:name w:val="List Table 4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4" w:customStyle="1">
    <w:name w:val="List Table 4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5" w:customStyle="1">
    <w:name w:val="List Table 5 Dark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6" w:customStyle="1">
    <w:name w:val="List Table 5 Dark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7" w:customStyle="1">
    <w:name w:val="List Table 5 Dark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8" w:customStyle="1">
    <w:name w:val="List Table 5 Dark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9" w:customStyle="1">
    <w:name w:val="List Table 5 Dark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90" w:customStyle="1">
    <w:name w:val="List Table 5 Dark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character" w:styleId="991" w:customStyle="1">
    <w:name w:val="Heading 1 Char"/>
    <w:basedOn w:val="737"/>
    <w:uiPriority w:val="9"/>
    <w:rPr>
      <w:rFonts w:ascii="Arial" w:hAnsi="Arial" w:eastAsia="Arial" w:cs="Arial"/>
      <w:sz w:val="40"/>
      <w:szCs w:val="40"/>
    </w:rPr>
  </w:style>
  <w:style w:type="character" w:styleId="992" w:customStyle="1">
    <w:name w:val="Heading 2 Char"/>
    <w:basedOn w:val="737"/>
    <w:uiPriority w:val="9"/>
    <w:rPr>
      <w:rFonts w:ascii="Arial" w:hAnsi="Arial" w:eastAsia="Arial" w:cs="Arial"/>
      <w:sz w:val="34"/>
    </w:rPr>
  </w:style>
  <w:style w:type="character" w:styleId="993" w:customStyle="1">
    <w:name w:val="Heading 3 Char"/>
    <w:basedOn w:val="737"/>
    <w:uiPriority w:val="9"/>
    <w:rPr>
      <w:rFonts w:ascii="Arial" w:hAnsi="Arial" w:eastAsia="Arial" w:cs="Arial"/>
      <w:sz w:val="30"/>
      <w:szCs w:val="30"/>
    </w:rPr>
  </w:style>
  <w:style w:type="character" w:styleId="994" w:customStyle="1">
    <w:name w:val="Heading 4 Char"/>
    <w:basedOn w:val="737"/>
    <w:uiPriority w:val="9"/>
    <w:rPr>
      <w:rFonts w:ascii="Arial" w:hAnsi="Arial" w:eastAsia="Arial" w:cs="Arial"/>
      <w:b/>
      <w:bCs/>
      <w:sz w:val="26"/>
      <w:szCs w:val="26"/>
    </w:rPr>
  </w:style>
  <w:style w:type="character" w:styleId="995" w:customStyle="1">
    <w:name w:val="Heading 5 Char"/>
    <w:basedOn w:val="737"/>
    <w:uiPriority w:val="9"/>
    <w:rPr>
      <w:rFonts w:ascii="Arial" w:hAnsi="Arial" w:eastAsia="Arial" w:cs="Arial"/>
      <w:b/>
      <w:bCs/>
      <w:sz w:val="24"/>
      <w:szCs w:val="24"/>
    </w:rPr>
  </w:style>
  <w:style w:type="character" w:styleId="996" w:customStyle="1">
    <w:name w:val="Heading 6 Char"/>
    <w:basedOn w:val="737"/>
    <w:uiPriority w:val="9"/>
    <w:rPr>
      <w:rFonts w:ascii="Arial" w:hAnsi="Arial" w:eastAsia="Arial" w:cs="Arial"/>
      <w:b/>
      <w:bCs/>
      <w:sz w:val="22"/>
      <w:szCs w:val="22"/>
    </w:rPr>
  </w:style>
  <w:style w:type="character" w:styleId="997" w:customStyle="1">
    <w:name w:val="Heading 7 Char"/>
    <w:basedOn w:val="73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98" w:customStyle="1">
    <w:name w:val="Heading 8 Char"/>
    <w:basedOn w:val="737"/>
    <w:uiPriority w:val="9"/>
    <w:rPr>
      <w:rFonts w:ascii="Arial" w:hAnsi="Arial" w:eastAsia="Arial" w:cs="Arial"/>
      <w:i/>
      <w:iCs/>
      <w:sz w:val="22"/>
      <w:szCs w:val="22"/>
    </w:rPr>
  </w:style>
  <w:style w:type="character" w:styleId="999" w:customStyle="1">
    <w:name w:val="Heading 9 Char"/>
    <w:basedOn w:val="737"/>
    <w:uiPriority w:val="9"/>
    <w:rPr>
      <w:rFonts w:ascii="Arial" w:hAnsi="Arial" w:eastAsia="Arial" w:cs="Arial"/>
      <w:i/>
      <w:iCs/>
      <w:sz w:val="21"/>
      <w:szCs w:val="21"/>
    </w:rPr>
  </w:style>
  <w:style w:type="character" w:styleId="1000" w:customStyle="1">
    <w:name w:val="Title Char"/>
    <w:basedOn w:val="737"/>
    <w:uiPriority w:val="10"/>
    <w:rPr>
      <w:sz w:val="48"/>
      <w:szCs w:val="48"/>
    </w:rPr>
  </w:style>
  <w:style w:type="character" w:styleId="1001" w:customStyle="1">
    <w:name w:val="Subtitle Char"/>
    <w:basedOn w:val="737"/>
    <w:uiPriority w:val="11"/>
    <w:rPr>
      <w:sz w:val="24"/>
      <w:szCs w:val="24"/>
    </w:rPr>
  </w:style>
  <w:style w:type="character" w:styleId="1002" w:customStyle="1">
    <w:name w:val="Quote Char"/>
    <w:uiPriority w:val="29"/>
    <w:rPr>
      <w:i/>
    </w:rPr>
  </w:style>
  <w:style w:type="character" w:styleId="1003" w:customStyle="1">
    <w:name w:val="Intense Quote Char"/>
    <w:uiPriority w:val="30"/>
    <w:rPr>
      <w:i/>
    </w:rPr>
  </w:style>
  <w:style w:type="character" w:styleId="1004" w:customStyle="1">
    <w:name w:val="Header Char"/>
    <w:basedOn w:val="737"/>
    <w:uiPriority w:val="99"/>
  </w:style>
  <w:style w:type="character" w:styleId="1005" w:customStyle="1">
    <w:name w:val="Caption Char"/>
    <w:uiPriority w:val="99"/>
  </w:style>
  <w:style w:type="character" w:styleId="1006" w:customStyle="1">
    <w:name w:val="Footnote Text Char"/>
    <w:uiPriority w:val="99"/>
    <w:rPr>
      <w:sz w:val="18"/>
    </w:rPr>
  </w:style>
  <w:style w:type="character" w:styleId="1007" w:customStyle="1">
    <w:name w:val="Endnote Text Char"/>
    <w:uiPriority w:val="99"/>
    <w:rPr>
      <w:sz w:val="20"/>
    </w:rPr>
  </w:style>
  <w:style w:type="character" w:styleId="1008" w:customStyle="1">
    <w:name w:val="Заголовок 1 Знак"/>
    <w:basedOn w:val="737"/>
    <w:link w:val="728"/>
    <w:uiPriority w:val="9"/>
    <w:rPr>
      <w:rFonts w:ascii="Arial" w:hAnsi="Arial" w:eastAsia="Arial" w:cs="Arial"/>
      <w:sz w:val="40"/>
      <w:szCs w:val="40"/>
    </w:rPr>
  </w:style>
  <w:style w:type="character" w:styleId="1009" w:customStyle="1">
    <w:name w:val="Заголовок 2 Знак"/>
    <w:basedOn w:val="737"/>
    <w:link w:val="729"/>
    <w:uiPriority w:val="9"/>
    <w:rPr>
      <w:rFonts w:ascii="Arial" w:hAnsi="Arial" w:eastAsia="Arial" w:cs="Arial"/>
      <w:sz w:val="34"/>
    </w:rPr>
  </w:style>
  <w:style w:type="character" w:styleId="1010" w:customStyle="1">
    <w:name w:val="Заголовок 3 Знак"/>
    <w:basedOn w:val="737"/>
    <w:link w:val="730"/>
    <w:uiPriority w:val="9"/>
    <w:rPr>
      <w:rFonts w:ascii="Arial" w:hAnsi="Arial" w:eastAsia="Arial" w:cs="Arial"/>
      <w:sz w:val="30"/>
      <w:szCs w:val="30"/>
    </w:rPr>
  </w:style>
  <w:style w:type="character" w:styleId="1011" w:customStyle="1">
    <w:name w:val="Заголовок 4 Знак"/>
    <w:basedOn w:val="737"/>
    <w:link w:val="731"/>
    <w:uiPriority w:val="9"/>
    <w:rPr>
      <w:rFonts w:ascii="Arial" w:hAnsi="Arial" w:eastAsia="Arial" w:cs="Arial"/>
      <w:b/>
      <w:bCs/>
      <w:sz w:val="26"/>
      <w:szCs w:val="26"/>
    </w:rPr>
  </w:style>
  <w:style w:type="character" w:styleId="1012" w:customStyle="1">
    <w:name w:val="Заголовок 5 Знак"/>
    <w:basedOn w:val="737"/>
    <w:link w:val="732"/>
    <w:uiPriority w:val="9"/>
    <w:rPr>
      <w:rFonts w:ascii="Arial" w:hAnsi="Arial" w:eastAsia="Arial" w:cs="Arial"/>
      <w:b/>
      <w:bCs/>
      <w:sz w:val="24"/>
      <w:szCs w:val="24"/>
    </w:rPr>
  </w:style>
  <w:style w:type="character" w:styleId="1013" w:customStyle="1">
    <w:name w:val="Заголовок 6 Знак"/>
    <w:basedOn w:val="737"/>
    <w:link w:val="733"/>
    <w:uiPriority w:val="9"/>
    <w:rPr>
      <w:rFonts w:ascii="Arial" w:hAnsi="Arial" w:eastAsia="Arial" w:cs="Arial"/>
      <w:b/>
      <w:bCs/>
      <w:sz w:val="22"/>
      <w:szCs w:val="22"/>
    </w:rPr>
  </w:style>
  <w:style w:type="character" w:styleId="1014" w:customStyle="1">
    <w:name w:val="Заголовок 7 Знак"/>
    <w:basedOn w:val="737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15" w:customStyle="1">
    <w:name w:val="Заголовок 8 Знак"/>
    <w:basedOn w:val="737"/>
    <w:link w:val="735"/>
    <w:uiPriority w:val="9"/>
    <w:rPr>
      <w:rFonts w:ascii="Arial" w:hAnsi="Arial" w:eastAsia="Arial" w:cs="Arial"/>
      <w:i/>
      <w:iCs/>
      <w:sz w:val="22"/>
      <w:szCs w:val="22"/>
    </w:rPr>
  </w:style>
  <w:style w:type="character" w:styleId="1016" w:customStyle="1">
    <w:name w:val="Заголовок 9 Знак"/>
    <w:basedOn w:val="737"/>
    <w:link w:val="736"/>
    <w:uiPriority w:val="9"/>
    <w:rPr>
      <w:rFonts w:ascii="Arial" w:hAnsi="Arial" w:eastAsia="Arial" w:cs="Arial"/>
      <w:i/>
      <w:iCs/>
      <w:sz w:val="21"/>
      <w:szCs w:val="21"/>
    </w:rPr>
  </w:style>
  <w:style w:type="paragraph" w:styleId="1017">
    <w:name w:val="No Spacing"/>
    <w:uiPriority w:val="1"/>
    <w:qFormat/>
    <w:pPr>
      <w:spacing w:after="0" w:line="240" w:lineRule="auto"/>
    </w:pPr>
  </w:style>
  <w:style w:type="paragraph" w:styleId="1018">
    <w:name w:val="Title"/>
    <w:basedOn w:val="727"/>
    <w:next w:val="727"/>
    <w:link w:val="1019"/>
    <w:uiPriority w:val="10"/>
    <w:qFormat/>
    <w:pPr>
      <w:contextualSpacing/>
      <w:spacing w:before="300"/>
    </w:pPr>
    <w:rPr>
      <w:sz w:val="48"/>
      <w:szCs w:val="48"/>
    </w:rPr>
  </w:style>
  <w:style w:type="character" w:styleId="1019" w:customStyle="1">
    <w:name w:val="Заголовок Знак"/>
    <w:basedOn w:val="737"/>
    <w:link w:val="1018"/>
    <w:uiPriority w:val="10"/>
    <w:rPr>
      <w:sz w:val="48"/>
      <w:szCs w:val="48"/>
    </w:rPr>
  </w:style>
  <w:style w:type="paragraph" w:styleId="1020">
    <w:name w:val="Subtitle"/>
    <w:basedOn w:val="727"/>
    <w:next w:val="727"/>
    <w:link w:val="1021"/>
    <w:uiPriority w:val="11"/>
    <w:qFormat/>
    <w:pPr>
      <w:spacing w:before="200"/>
    </w:pPr>
    <w:rPr>
      <w:sz w:val="24"/>
      <w:szCs w:val="24"/>
    </w:rPr>
  </w:style>
  <w:style w:type="character" w:styleId="1021" w:customStyle="1">
    <w:name w:val="Подзаголовок Знак"/>
    <w:basedOn w:val="737"/>
    <w:link w:val="1020"/>
    <w:uiPriority w:val="11"/>
    <w:rPr>
      <w:sz w:val="24"/>
      <w:szCs w:val="24"/>
    </w:rPr>
  </w:style>
  <w:style w:type="paragraph" w:styleId="1022">
    <w:name w:val="Quote"/>
    <w:basedOn w:val="727"/>
    <w:next w:val="727"/>
    <w:link w:val="1023"/>
    <w:uiPriority w:val="29"/>
    <w:qFormat/>
    <w:pPr>
      <w:ind w:left="720" w:right="720"/>
    </w:pPr>
    <w:rPr>
      <w:i/>
    </w:rPr>
  </w:style>
  <w:style w:type="character" w:styleId="1023" w:customStyle="1">
    <w:name w:val="Цитата 2 Знак"/>
    <w:link w:val="1022"/>
    <w:uiPriority w:val="29"/>
    <w:rPr>
      <w:i/>
    </w:rPr>
  </w:style>
  <w:style w:type="paragraph" w:styleId="1024">
    <w:name w:val="Intense Quote"/>
    <w:basedOn w:val="727"/>
    <w:next w:val="727"/>
    <w:link w:val="102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25" w:customStyle="1">
    <w:name w:val="Выделенная цитата Знак"/>
    <w:link w:val="1024"/>
    <w:uiPriority w:val="30"/>
    <w:rPr>
      <w:i/>
    </w:rPr>
  </w:style>
  <w:style w:type="paragraph" w:styleId="1026">
    <w:name w:val="Header"/>
    <w:basedOn w:val="727"/>
    <w:link w:val="10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027" w:customStyle="1">
    <w:name w:val="Верхний колонтитул Знак"/>
    <w:basedOn w:val="737"/>
    <w:link w:val="1026"/>
    <w:uiPriority w:val="99"/>
  </w:style>
  <w:style w:type="paragraph" w:styleId="1028">
    <w:name w:val="Footer"/>
    <w:basedOn w:val="727"/>
    <w:link w:val="10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029" w:customStyle="1">
    <w:name w:val="Footer Char"/>
    <w:basedOn w:val="737"/>
    <w:uiPriority w:val="99"/>
  </w:style>
  <w:style w:type="paragraph" w:styleId="1030">
    <w:name w:val="Caption"/>
    <w:basedOn w:val="727"/>
    <w:next w:val="727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styleId="1031" w:customStyle="1">
    <w:name w:val="Нижний колонтитул Знак"/>
    <w:link w:val="1028"/>
    <w:uiPriority w:val="99"/>
  </w:style>
  <w:style w:type="table" w:styleId="1032">
    <w:name w:val="Table Grid"/>
    <w:basedOn w:val="73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33" w:customStyle="1">
    <w:name w:val="Table Grid Light1"/>
    <w:basedOn w:val="73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034" w:customStyle="1">
    <w:name w:val="Plain Table 11"/>
    <w:basedOn w:val="73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35" w:customStyle="1">
    <w:name w:val="Plain Table 21"/>
    <w:basedOn w:val="73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36" w:customStyle="1">
    <w:name w:val="Plain Table 3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37" w:customStyle="1">
    <w:name w:val="Plain Table 4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8" w:customStyle="1">
    <w:name w:val="Plain Table 5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39" w:customStyle="1">
    <w:name w:val="Grid Table 1 Light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0" w:customStyle="1">
    <w:name w:val="Grid Table 1 Light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1" w:customStyle="1">
    <w:name w:val="Grid Table 1 Light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2" w:customStyle="1">
    <w:name w:val="Grid Table 1 Light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3" w:customStyle="1">
    <w:name w:val="Grid Table 1 Light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4" w:customStyle="1">
    <w:name w:val="Grid Table 1 Light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5" w:customStyle="1">
    <w:name w:val="Grid Table 1 Light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6" w:customStyle="1">
    <w:name w:val="Grid Table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7" w:customStyle="1">
    <w:name w:val="Grid Table 2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8" w:customStyle="1">
    <w:name w:val="Grid Table 2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 w:customStyle="1">
    <w:name w:val="Grid Table 2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0" w:customStyle="1">
    <w:name w:val="Grid Table 2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1" w:customStyle="1">
    <w:name w:val="Grid Table 2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2" w:customStyle="1">
    <w:name w:val="Grid Table 2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3" w:customStyle="1">
    <w:name w:val="Grid Table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4" w:customStyle="1">
    <w:name w:val="Grid Table 3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5" w:customStyle="1">
    <w:name w:val="Grid Table 3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6" w:customStyle="1">
    <w:name w:val="Grid Table 3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7" w:customStyle="1">
    <w:name w:val="Grid Table 3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8" w:customStyle="1">
    <w:name w:val="Grid Table 3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9" w:customStyle="1">
    <w:name w:val="Grid Table 3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0" w:customStyle="1">
    <w:name w:val="Grid Table 4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61" w:customStyle="1">
    <w:name w:val="Grid Table 4 - Accent 1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1062" w:customStyle="1">
    <w:name w:val="Grid Table 4 - Accent 2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1063" w:customStyle="1">
    <w:name w:val="Grid Table 4 - Accent 3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1064" w:customStyle="1">
    <w:name w:val="Grid Table 4 - Accent 4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1065" w:customStyle="1">
    <w:name w:val="Grid Table 4 - Accent 5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1066" w:customStyle="1">
    <w:name w:val="Grid Table 4 - Accent 61"/>
    <w:basedOn w:val="7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067" w:customStyle="1">
    <w:name w:val="Grid Table 5 Dark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68" w:customStyle="1">
    <w:name w:val="Grid Table 5 Dark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1069" w:customStyle="1">
    <w:name w:val="Grid Table 5 Dark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070" w:customStyle="1">
    <w:name w:val="Grid Table 5 Dark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071" w:customStyle="1">
    <w:name w:val="Grid Table 5 Dark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072" w:customStyle="1">
    <w:name w:val="Grid Table 5 Dark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1073" w:customStyle="1">
    <w:name w:val="Grid Table 5 Dark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074" w:customStyle="1">
    <w:name w:val="Grid Table 6 Colourful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75" w:customStyle="1">
    <w:name w:val="Grid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1076" w:customStyle="1">
    <w:name w:val="Grid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077" w:customStyle="1">
    <w:name w:val="Grid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078" w:customStyle="1">
    <w:name w:val="Grid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079" w:customStyle="1">
    <w:name w:val="Grid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080" w:customStyle="1">
    <w:name w:val="Grid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081" w:customStyle="1">
    <w:name w:val="Grid Table 7 Colourful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2" w:customStyle="1">
    <w:name w:val="Grid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3" w:customStyle="1">
    <w:name w:val="Grid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4" w:customStyle="1">
    <w:name w:val="Grid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5" w:customStyle="1">
    <w:name w:val="Grid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6" w:customStyle="1">
    <w:name w:val="Grid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7" w:customStyle="1">
    <w:name w:val="Grid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8" w:customStyle="1">
    <w:name w:val="List Table 1 Light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9" w:customStyle="1">
    <w:name w:val="List Table 1 Light - Accent 1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0" w:customStyle="1">
    <w:name w:val="List Table 1 Light - Accent 2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1" w:customStyle="1">
    <w:name w:val="List Table 1 Light - Accent 3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2" w:customStyle="1">
    <w:name w:val="List Table 1 Light - Accent 4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3" w:customStyle="1">
    <w:name w:val="List Table 1 Light - Accent 5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4" w:customStyle="1">
    <w:name w:val="List Table 1 Light - Accent 61"/>
    <w:basedOn w:val="7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5" w:customStyle="1">
    <w:name w:val="List Table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96" w:customStyle="1">
    <w:name w:val="List Table 2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1097" w:customStyle="1">
    <w:name w:val="List Table 2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098" w:customStyle="1">
    <w:name w:val="List Table 2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099" w:customStyle="1">
    <w:name w:val="List Table 2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100" w:customStyle="1">
    <w:name w:val="List Table 2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1101" w:customStyle="1">
    <w:name w:val="List Table 2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102" w:customStyle="1">
    <w:name w:val="List Table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3" w:customStyle="1">
    <w:name w:val="List Table 3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4" w:customStyle="1">
    <w:name w:val="List Table 3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5" w:customStyle="1">
    <w:name w:val="List Table 3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6" w:customStyle="1">
    <w:name w:val="List Table 3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7" w:customStyle="1">
    <w:name w:val="List Table 3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8" w:customStyle="1">
    <w:name w:val="List Table 3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9" w:customStyle="1">
    <w:name w:val="List Table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0" w:customStyle="1">
    <w:name w:val="List Table 4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1" w:customStyle="1">
    <w:name w:val="List Table 4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2" w:customStyle="1">
    <w:name w:val="List Table 4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3" w:customStyle="1">
    <w:name w:val="List Table 4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4" w:customStyle="1">
    <w:name w:val="List Table 4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5" w:customStyle="1">
    <w:name w:val="List Table 4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6" w:customStyle="1">
    <w:name w:val="List Table 5 Dark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17" w:customStyle="1">
    <w:name w:val="List Table 5 Dark - Accent 1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18" w:customStyle="1">
    <w:name w:val="List Table 5 Dark - Accent 2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19" w:customStyle="1">
    <w:name w:val="List Table 5 Dark - Accent 3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20" w:customStyle="1">
    <w:name w:val="List Table 5 Dark - Accent 4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21" w:customStyle="1">
    <w:name w:val="List Table 5 Dark - Accent 5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22" w:customStyle="1">
    <w:name w:val="List Table 5 Dark - Accent 6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23" w:customStyle="1">
    <w:name w:val="List Table 6 Colourful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24" w:customStyle="1">
    <w:name w:val="List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1125" w:customStyle="1">
    <w:name w:val="List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126" w:customStyle="1">
    <w:name w:val="List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127" w:customStyle="1">
    <w:name w:val="List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128" w:customStyle="1">
    <w:name w:val="List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1129" w:customStyle="1">
    <w:name w:val="List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130" w:customStyle="1">
    <w:name w:val="List Table 7 Colourful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1" w:customStyle="1">
    <w:name w:val="List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2" w:customStyle="1">
    <w:name w:val="List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3" w:customStyle="1">
    <w:name w:val="List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4" w:customStyle="1">
    <w:name w:val="List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5" w:customStyle="1">
    <w:name w:val="List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6" w:customStyle="1">
    <w:name w:val="List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7" w:customStyle="1">
    <w:name w:val="Lined - Accent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38" w:customStyle="1">
    <w:name w:val="Lined - Accent 1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139" w:customStyle="1">
    <w:name w:val="Lined - Accent 2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40" w:customStyle="1">
    <w:name w:val="Lined - Accent 3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41" w:customStyle="1">
    <w:name w:val="Lined - Accent 4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42" w:customStyle="1">
    <w:name w:val="Lined - Accent 5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143" w:customStyle="1">
    <w:name w:val="Lined - Accent 6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44" w:customStyle="1">
    <w:name w:val="Bordered &amp; Lined - Accent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45" w:customStyle="1">
    <w:name w:val="Bordered &amp; Lined - Accent 1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146" w:customStyle="1">
    <w:name w:val="Bordered &amp; Lined - Accent 2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47" w:customStyle="1">
    <w:name w:val="Bordered &amp; Lined - Accent 3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48" w:customStyle="1">
    <w:name w:val="Bordered &amp; Lined - Accent 4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49" w:customStyle="1">
    <w:name w:val="Bordered &amp; Lined - Accent 5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150" w:customStyle="1">
    <w:name w:val="Bordered &amp; Lined - Accent 6"/>
    <w:basedOn w:val="73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51" w:customStyle="1">
    <w:name w:val="Bordered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52" w:customStyle="1">
    <w:name w:val="Bordered - Accent 1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1153" w:customStyle="1">
    <w:name w:val="Bordered - Accent 2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154" w:customStyle="1">
    <w:name w:val="Bordered - Accent 3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155" w:customStyle="1">
    <w:name w:val="Bordered - Accent 4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156" w:customStyle="1">
    <w:name w:val="Bordered - Accent 5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1157" w:customStyle="1">
    <w:name w:val="Bordered - Accent 6"/>
    <w:basedOn w:val="7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1158">
    <w:name w:val="footnote text"/>
    <w:basedOn w:val="727"/>
    <w:link w:val="1159"/>
    <w:uiPriority w:val="99"/>
    <w:semiHidden/>
    <w:unhideWhenUsed/>
    <w:pPr>
      <w:spacing w:after="40" w:line="240" w:lineRule="auto"/>
    </w:pPr>
    <w:rPr>
      <w:sz w:val="18"/>
    </w:rPr>
  </w:style>
  <w:style w:type="character" w:styleId="1159" w:customStyle="1">
    <w:name w:val="Текст сноски Знак"/>
    <w:link w:val="1158"/>
    <w:uiPriority w:val="99"/>
    <w:rPr>
      <w:sz w:val="18"/>
    </w:rPr>
  </w:style>
  <w:style w:type="character" w:styleId="1160">
    <w:name w:val="footnote reference"/>
    <w:basedOn w:val="737"/>
    <w:uiPriority w:val="99"/>
    <w:unhideWhenUsed/>
    <w:rPr>
      <w:vertAlign w:val="superscript"/>
    </w:rPr>
  </w:style>
  <w:style w:type="paragraph" w:styleId="1161">
    <w:name w:val="endnote text"/>
    <w:basedOn w:val="727"/>
    <w:link w:val="1162"/>
    <w:uiPriority w:val="99"/>
    <w:semiHidden/>
    <w:unhideWhenUsed/>
    <w:pPr>
      <w:spacing w:after="0" w:line="240" w:lineRule="auto"/>
    </w:pPr>
    <w:rPr>
      <w:sz w:val="20"/>
    </w:rPr>
  </w:style>
  <w:style w:type="character" w:styleId="1162" w:customStyle="1">
    <w:name w:val="Текст концевой сноски Знак"/>
    <w:link w:val="1161"/>
    <w:uiPriority w:val="99"/>
    <w:rPr>
      <w:sz w:val="20"/>
    </w:rPr>
  </w:style>
  <w:style w:type="character" w:styleId="1163">
    <w:name w:val="endnote reference"/>
    <w:basedOn w:val="737"/>
    <w:uiPriority w:val="99"/>
    <w:semiHidden/>
    <w:unhideWhenUsed/>
    <w:rPr>
      <w:vertAlign w:val="superscript"/>
    </w:rPr>
  </w:style>
  <w:style w:type="paragraph" w:styleId="1164">
    <w:name w:val="toc 1"/>
    <w:basedOn w:val="727"/>
    <w:next w:val="727"/>
    <w:uiPriority w:val="39"/>
    <w:unhideWhenUsed/>
    <w:pPr>
      <w:spacing w:after="57"/>
    </w:pPr>
  </w:style>
  <w:style w:type="paragraph" w:styleId="1165">
    <w:name w:val="toc 2"/>
    <w:basedOn w:val="727"/>
    <w:next w:val="727"/>
    <w:uiPriority w:val="39"/>
    <w:unhideWhenUsed/>
    <w:pPr>
      <w:ind w:left="283"/>
      <w:spacing w:after="57"/>
    </w:pPr>
  </w:style>
  <w:style w:type="paragraph" w:styleId="1166">
    <w:name w:val="toc 3"/>
    <w:basedOn w:val="727"/>
    <w:next w:val="727"/>
    <w:uiPriority w:val="39"/>
    <w:unhideWhenUsed/>
    <w:pPr>
      <w:ind w:left="567"/>
      <w:spacing w:after="57"/>
    </w:pPr>
  </w:style>
  <w:style w:type="paragraph" w:styleId="1167">
    <w:name w:val="toc 4"/>
    <w:basedOn w:val="727"/>
    <w:next w:val="727"/>
    <w:uiPriority w:val="39"/>
    <w:unhideWhenUsed/>
    <w:pPr>
      <w:ind w:left="850"/>
      <w:spacing w:after="57"/>
    </w:pPr>
  </w:style>
  <w:style w:type="paragraph" w:styleId="1168">
    <w:name w:val="toc 5"/>
    <w:basedOn w:val="727"/>
    <w:next w:val="727"/>
    <w:uiPriority w:val="39"/>
    <w:unhideWhenUsed/>
    <w:pPr>
      <w:ind w:left="1134"/>
      <w:spacing w:after="57"/>
    </w:pPr>
  </w:style>
  <w:style w:type="paragraph" w:styleId="1169">
    <w:name w:val="toc 6"/>
    <w:basedOn w:val="727"/>
    <w:next w:val="727"/>
    <w:uiPriority w:val="39"/>
    <w:unhideWhenUsed/>
    <w:pPr>
      <w:ind w:left="1417"/>
      <w:spacing w:after="57"/>
    </w:pPr>
  </w:style>
  <w:style w:type="paragraph" w:styleId="1170">
    <w:name w:val="toc 7"/>
    <w:basedOn w:val="727"/>
    <w:next w:val="727"/>
    <w:uiPriority w:val="39"/>
    <w:unhideWhenUsed/>
    <w:pPr>
      <w:ind w:left="1701"/>
      <w:spacing w:after="57"/>
    </w:pPr>
  </w:style>
  <w:style w:type="paragraph" w:styleId="1171">
    <w:name w:val="toc 8"/>
    <w:basedOn w:val="727"/>
    <w:next w:val="727"/>
    <w:uiPriority w:val="39"/>
    <w:unhideWhenUsed/>
    <w:pPr>
      <w:ind w:left="1984"/>
      <w:spacing w:after="57"/>
    </w:pPr>
  </w:style>
  <w:style w:type="paragraph" w:styleId="1172">
    <w:name w:val="toc 9"/>
    <w:basedOn w:val="727"/>
    <w:next w:val="727"/>
    <w:uiPriority w:val="39"/>
    <w:unhideWhenUsed/>
    <w:pPr>
      <w:ind w:left="2268"/>
      <w:spacing w:after="57"/>
    </w:pPr>
  </w:style>
  <w:style w:type="paragraph" w:styleId="1173">
    <w:name w:val="TOC Heading"/>
    <w:uiPriority w:val="39"/>
    <w:unhideWhenUsed/>
  </w:style>
  <w:style w:type="paragraph" w:styleId="1174">
    <w:name w:val="table of figures"/>
    <w:basedOn w:val="727"/>
    <w:next w:val="727"/>
    <w:uiPriority w:val="99"/>
    <w:unhideWhenUsed/>
    <w:pPr>
      <w:spacing w:after="0"/>
    </w:pPr>
  </w:style>
  <w:style w:type="character" w:styleId="1175">
    <w:name w:val="Hyperlink"/>
    <w:uiPriority w:val="99"/>
    <w:unhideWhenUsed/>
    <w:rPr>
      <w:color w:val="0563c1" w:themeColor="hyperlink"/>
      <w:u w:val="single"/>
    </w:rPr>
  </w:style>
  <w:style w:type="paragraph" w:styleId="1176">
    <w:name w:val="List Paragraph"/>
    <w:basedOn w:val="727"/>
    <w:uiPriority w:val="34"/>
    <w:qFormat/>
    <w:pPr>
      <w:contextualSpacing/>
      <w:ind w:left="720"/>
    </w:pPr>
  </w:style>
  <w:style w:type="paragraph" w:styleId="1177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1178" w:customStyle="1">
    <w:name w:val="Standard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PT Sans" w:hAnsi="PT Sans" w:eastAsia="Tahoma" w:cs="Noto Sans Devanagari"/>
      <w:color w:val="auto"/>
      <w:spacing w:val="0"/>
      <w:position w:val="0"/>
      <w:sz w:val="24"/>
      <w:szCs w:val="24"/>
      <w:highlight w:val="none"/>
      <w:u w:val="none"/>
      <w:vertAlign w:val="baseline"/>
      <w:lang w:val="ru-RU"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consultantplus://offline/ref=48599087EBD0898B006B6A4EC43CA6A2AF9C82A08EEF92BD77FBB9FB53816AE443E9D4B78B202697A7CCA2EECF54750616D22BA9m7H" TargetMode="External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Юдаев</dc:creator>
  <cp:keywords/>
  <dc:description/>
  <cp:revision>51</cp:revision>
  <dcterms:created xsi:type="dcterms:W3CDTF">2022-09-19T08:59:00Z</dcterms:created>
  <dcterms:modified xsi:type="dcterms:W3CDTF">2022-11-11T07:08:20Z</dcterms:modified>
</cp:coreProperties>
</file>