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законодательства Российской Федерации о противодействии легализации (отмы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ванию) доходов, полученных преступным путем, и финансированию терроризма юридическими лицами и индивидуальными предпринимателями, осуществляющими куплю-продажу, скупку драгоценных металлов и драгоценных камней, ювелирных изделий из них и лома таких изделий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Общие положения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соблюдению обязательных требований законодательства Российской Федерации </w:t>
      </w:r>
      <w:bookmarkStart w:id="0" w:name="_Hlk11397841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терроризма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 – ПОД/ФТ)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 и индивидуальными предпринимателями, осуществляющими  куплю-продажу, скупку драгоценных металлов и драгоценных камней, ювелирных изделий из них и лома таких изделий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 – Руководство), разработано в целях содействия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предпринимателям, ос</w:t>
      </w:r>
      <w:r>
        <w:rPr>
          <w:rFonts w:ascii="Times New Roman" w:hAnsi="Times New Roman" w:cs="Times New Roman"/>
          <w:sz w:val="28"/>
          <w:szCs w:val="28"/>
        </w:rPr>
        <w:t xml:space="preserve">уществляющим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купле-продаже, скупке драгоценных металлов и драгоценных камней, ювелирных изделий из них и лома таких изделий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том 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комиссии, подряда и агентски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договор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участник оборота ДМДК, ДМДК), в организации работы по обеспечению соблюдения обязательных требований законодательства Российской Федерации о ПОД/ФТ.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контроля являются участники оборота ДМДК, осуществляющие операции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сфере: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добычи ДМДК (на этапе реализации);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производства драгоценных металлов (далее – ДМ) (извлечение ДМ из добытых руд, из концентратов, лома и отходов ДМ) и аффинажа ДМ;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производства ювелирных изделий;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обработки (огранки) драгоценных камней (далее – ДК);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обработки (переработки) лома и отходов ДМ;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рекуперации ДК;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оптовой торговли ДМДК (как в обработанных, так и в сырье 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полуобработанных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формах (полуфабрикатах);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оптовой торговли ДМДК (как в обработанных, так и в сырье 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полуобработанных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формах (полуфабрикатах);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торговле ювелирными изделиями (оптовая, розничная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комиссионная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br/>
        <w:t xml:space="preserve">(в том числе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дистанционны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способ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продажи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включая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реализацию ювелирных изделий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через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маркетплейсы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изготовления ювелирных изделий по индивидуальному заказу населения</w:t>
        <w:br/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(в случае, если приобретаются ДМДК, которые используются в процессе изготовления ювелирных изделий)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ремонта ювелирных изделий (в случае, если приобретаются ДМДК, которые используются в процессе ремонта ювелирных изделий);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скупки ДМДК.</w:t>
      </w:r>
      <w:r/>
    </w:p>
    <w:p>
      <w:pPr>
        <w:ind w:firstLine="850"/>
        <w:jc w:val="both"/>
        <w:spacing w:after="0" w:line="360" w:lineRule="auto"/>
        <w:tabs>
          <w:tab w:val="left" w:pos="1785" w:leader="none"/>
        </w:tabs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Перечень видов экономической деятельности в сфере оборота ДМДК, на которые распространяются обязательные требования законодательства о ПОД/ФТ, приведен в приложении № 1 к настоящему Руководству.</w:t>
      </w:r>
      <w:r/>
    </w:p>
    <w:p>
      <w:pPr>
        <w:ind w:firstLine="85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не распространяется на:</w:t>
      </w:r>
      <w:r/>
    </w:p>
    <w:p>
      <w:pPr>
        <w:ind w:firstLine="85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религиозные организации;</w:t>
      </w:r>
      <w:r/>
    </w:p>
    <w:p>
      <w:pPr>
        <w:ind w:firstLine="85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музеи;</w:t>
      </w:r>
      <w:r/>
    </w:p>
    <w:p>
      <w:pPr>
        <w:ind w:firstLine="85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bookmarkStart w:id="1" w:name="_Hlk11449569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и индивидуальных предпринимателей, использующих драгоценные металлы, их химические соединения, драгоценные камни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медицинских, научно-исследовательских целях;</w:t>
      </w:r>
      <w:r/>
    </w:p>
    <w:p>
      <w:pPr>
        <w:ind w:firstLine="85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и индивидуальных предпринимателей, использующих</w:t>
      </w:r>
      <w:r>
        <w:rPr>
          <w:rFonts w:ascii="Times New Roman" w:hAnsi="Times New Roman" w:cs="Times New Roman"/>
          <w:color w:val="000000"/>
          <w:sz w:val="28"/>
        </w:rPr>
        <w:t xml:space="preserve"> драгоценные металлы, их химические соединения, драгоценные камни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инструментов, приборов, оборудования и изделий производственно-технического назначения.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ind w:firstLine="85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Операции, подлежащие контролю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Для целей настоящего Руководства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операциям, подлежащим контролю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, относятся операции обязательного контроля и необычные (подозрительные) операции.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К операциям обязательного контроля относятся: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купля-прод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ажа, скупка ДМДК, ювелирных изделий из них и лома таких изделий на сумму, равную или превышающую 1 млн рублей или равную сумме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 1 млн рублей,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или превышающей ее,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br/>
        <w:t xml:space="preserve">а также если по одному договору купли-продажи или скупки, заключенному с одним и тем же контрагентом (клиентом), сумма совершенных операций равна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превышает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млн рублей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или равна сумме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 </w:t>
        <w:br/>
        <w:t xml:space="preserve">1 млн рублей,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или превышает 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зачисление или перевод на счет денежных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редств, предоставление или получение кредита (займа), операции с ценными бумагами, если одной из сторон сделки является физическое или юридическое лицо, имеющее, соответственно, регистрацию, место жительства или место нахождения в Исламской Республике Иран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(ил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и) в Корейской Народно-Демократической Республике, либо если указанные операции проводятся с использованием счета в банке, зарегистрированном в указанных государствах (на указанных территориях), если сумма такого перевода равна или превышает 1 млн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или равна сумме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 1 млн рублей,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или превышает 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предоставление участником оборота ДМДК другим юридическим и физическим лицам или получение участником оборота ДМДК беспроцентных займов от юридических лиц, не являющимися кредитными организациями, либо физических лиц, если сумма займа равна или превышает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 млн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или равна сумме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 1 млн рублей,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или превышает 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получение или расходование некоммерческой организацией денежных средств и (или) иного имущества вне зависимости от суммы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получение юридическим лицом, индивидуальным предпринимателем или физическим лицом, включенными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перечни организаций и физических лиц, в отношении которых имеются сведения об их причастности к экстремистской деятельности, терроризму или к распространению оружия массового уничтожения (далее – Перечни),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и (или)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(далее – решение МВК)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, денежных средств и (или) иного имущества вне зависимости от суммы.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Участником оборота ДМДК сумма в российских рублях по операции обязательного контроля, совершенной в иностранной валюте,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определяется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по официальному курсу Центрального банка Российской Федерации, действующему на дату совершения такой операции.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необычным (подозрительным) операциям относятся операции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у участ</w:t>
      </w:r>
      <w:r>
        <w:rPr>
          <w:rFonts w:ascii="Times New Roman" w:hAnsi="Times New Roman" w:cs="Times New Roman"/>
          <w:sz w:val="28"/>
          <w:szCs w:val="28"/>
        </w:rPr>
        <w:t xml:space="preserve">ника обо</w:t>
      </w:r>
      <w:r>
        <w:rPr>
          <w:rFonts w:ascii="Times New Roman" w:hAnsi="Times New Roman" w:cs="Times New Roman"/>
          <w:sz w:val="28"/>
          <w:szCs w:val="28"/>
        </w:rPr>
        <w:t xml:space="preserve">рота ДМДК (их сотрудников) возникают подозрения, что они осуществляются в целях легализации (отмывания) доходов, полученных преступным путем, или финансирования терроризма. Для выявления необычных (подозрительных) операций участник оборота ДМДК использует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справочник кодов видов признаков необычных (подозрительных) операций</w:t>
      </w:r>
      <w:r>
        <w:rPr>
          <w:rStyle w:val="1157"/>
          <w:rFonts w:ascii="Times New Roman" w:hAnsi="Times New Roman" w:cs="Times New Roman"/>
          <w:sz w:val="28"/>
          <w:szCs w:val="28"/>
          <w:highlight w:val="white"/>
        </w:rPr>
        <w:footnoteReference w:id="2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приведенный в приложении № 2 к настоящему Руководству.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Организация внутреннего контроля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 оборота ДМДК организовывает внутренний контроль в целях исполнения обязательных требований законодательства о ПОД/ФТ.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этого необходимо: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зарегистрировать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личный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кабинет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Росфинмониторинга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– сеть «Интернет»);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разработать и утвердить правила внутреннего контроля </w:t>
        <w:br/>
        <w:t xml:space="preserve">(далее – ПВК);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назначить специальное должностное лицо (далее – СДЛ).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720"/>
        <w:jc w:val="center"/>
        <w:spacing w:after="0" w:line="360" w:lineRule="auto"/>
        <w:tabs>
          <w:tab w:val="left" w:pos="9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Регистрация личного кабинета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взаимодействия с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участник оборота ДМДК регистрирует личный кабинет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оформив заявление</w:t>
      </w:r>
      <w:r>
        <w:rPr>
          <w:rStyle w:val="115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подписанное усиленной квалифицированной электронной подписью (далее – УКЭП).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отсутствие у участника оборота ДМ</w:t>
      </w:r>
      <w:r>
        <w:rPr>
          <w:rFonts w:ascii="Times New Roman" w:hAnsi="Times New Roman" w:cs="Times New Roman"/>
          <w:sz w:val="28"/>
          <w:szCs w:val="28"/>
        </w:rPr>
        <w:t xml:space="preserve">ДК личного кабинета предусмотрена административная ответственность по части 1 статьи 15.27 Кодекса Российской Федерации об административных правонарушениях (далее – КоАП РФ) в виде предупреждения или административного штрафа на должностных лиц (руководител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лица) в размере от 10 тыс. руб. до 30 тыс. руб.; на юридических лиц (индивидуальных предпринимателей) – от 50 тыс. руб. </w:t>
        <w:br/>
        <w:t xml:space="preserve">до 100 тыс. руб.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Разработка правил внутреннего контроля</w:t>
      </w:r>
      <w:r/>
    </w:p>
    <w:p>
      <w:pPr>
        <w:ind w:firstLine="709"/>
        <w:jc w:val="both"/>
        <w:spacing w:after="0" w:line="360" w:lineRule="auto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ДМДК утверждает ПВК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любой форме на усмотрение участника оборота ДМДК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(например,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сами ПВК или в форме отдельного приказа об их утверждении).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ПВК разрабатываются самостоятельно и оформляются на бумажном носителе или в виде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документа. ПВК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подписываются руководителем юридического лица, индивидуальным предпринимателем и заверяются печатью (при наличии). Приказы в виде электронного документа подписываются УКЭП руководителя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ПВК – внутренний документ участника оборота ДМДК, который регламентирует организацию работы по ПОД/ФТ, устанавливает обязанности и порядок действий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 юридического лица,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уального предпринимателя, их сотрудников в целях осуществления внутреннего контроля за соблюдением законодательства о ПОД/ФТ, определяет сроки выполнения обязанностей в целях осуществления внутреннего контроля, а также лиц, ответственных за их реализацию.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ПВК должны включать в себя следующие программы: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организации внутреннего контроля;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идентификации клиентов, представителей клиентов и (или) выгодоприобретателей, а также бенефициарных владельцев;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оценки степени (уровня) риска совершения клиентом необычных (подозрительных) операций и принятия мер по снижению рисков совершения клиентом необычных (подозрительных) операций;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выявления операций (сделок), подлежащих обязательному контролю, и необычных (подозрительных) сделок;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документального фиксирования информации;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регламентирующая порядок работы по приостановлению операций;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подготовки и обучения кадров в сфере ПОД/ФТ;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проверки осуществления внутреннего контроля;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хранения информации и документов, полученных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 осуществления внутреннего контроля в целях</w:t>
      </w:r>
      <w:r>
        <w:rPr>
          <w:rFonts w:ascii="Times New Roman" w:hAnsi="Times New Roman" w:cs="Times New Roman"/>
          <w:sz w:val="28"/>
          <w:szCs w:val="28"/>
        </w:rPr>
        <w:t xml:space="preserve"> ПОД/ФТ;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изучения клиента при приеме на обслуживание и обслуживании;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регламентирующая порядок действий в случае отказа в совершении операц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ии, а также отказа в приеме клиента на обслуживание;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регламентирующая порядок применения мер по замораживанию (блокированию) денежных средств или иного имущества.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случае вступления в силу новых нормативных правовых актов в сфере ПОД/ФТ, затрагивающих обязанности участников оборота ДМДК, либо внесения изменений в действующие нормативн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ые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правовые акты в сфере ПОД/ФТ, участником оборота ДМДК приводятся ПВК в соответствие с требованиями указанных нормативн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ых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правовых актов не позднее 1 месяца после даты их вступления в силу.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отсутствие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неактуализ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ацию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законодательства о ПОД/ФТ ПВК, а также за отсутствие в них необходимых программ предусмотрена административная ответственность по части 1 статьи 15.27 КоАП РФ в виде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или административного штрафа от 10 тыс. руб. до 30 тыс. руб. на должностных лиц (СДЛ или руководителя юридического лица, если не назначено СДЛ); на юридических лиц (индивидуальных предпринимателей) – административный штраф от 50 тыс. руб. до 100 тыс. руб.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Назначение специального должностного лица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Лицом, ответственным за соблюдение обязательных требований законодательства о ПОД/ФТ,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является руководитель юридического лица, индивидуальный предприниматель, а в случае назначения СДЛ, ответственность возлагается на СДЛ. СДЛ назначается отдельным приказом участника оборота ДМДК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 о назначении СДЛ разрабатывается участником оборота ДМДК и оформляется на бума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жном носителе или в виде эле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ктронного документа. Приказ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бумажном носителе подписывается руководителем юридического лица, индивидуальным предпринимателем и заверяется печатью (при наличии). Приказ в виде электронного документа подписывается УКЭП руководителя юридического лица, индивидуального предпринимателя.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Полномочия и обязанности, возлагаемые на СДЛ, устанавливаются в ПВК.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3.3.1. Требования к специальному должностном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лицу</w:t>
      </w:r>
      <w:r>
        <w:rPr>
          <w:rFonts w:ascii="Times New Roman" w:hAnsi="Times New Roman" w:eastAsia="Times New Roman" w:cs="Times New Roman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СДЛ предъявляются следующие квалификационные требования: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высшего образования по специальностям, направлениям подготовки, относящимся к укрупненной группе специальностей, направлений подготовки «Экономика и управление», либо по направлению подготовки «Юриспруденция»,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отсутствии указанного образования - наличие опыта работы не менее 2 лет на должностях, связанных с исполнением обязанностей по ПОД/ФТ;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прохождение обучения в целях ПОД/ФТ.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Индивидуальные предприниматели могут самостоятельно осуществлять функции СДЛ при прохождении обучения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в целях ПОД/ФТ.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СДЛ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ответственным за реализацию ПВК, не может быть лицо, имеющее неснятую или непогашенную судимость за преступления в сфере экономики или преступления против государственной власти.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 начала осуществления функций в качестве СДЛ сотрудник участника оборота ДМДК (либо сам участник оборота ДМДК, если это индивидуальный предприниматель) обязан пройти обучение в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целевого инструктажа в одной из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 на сайте Автономной некоммерческой организации «Международный учебно-методический центр финансового мониторинга» по адресу: </w:t>
      </w:r>
      <w:hyperlink r:id="rId13" w:tooltip="https://mumcfm.ru/partners" w:history="1">
        <w:r>
          <w:rPr>
            <w:rStyle w:val="115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https://mumcfm.ru/partners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итогам обучения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в форме целевого инструктажа выдается свидетельство серии «ЦИ» с шестизначным уникальным номером (например, ЦИ № 000001).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отсутствие СДЛ либо несоответствие СДЛ квалификационным требованиям предусмотрена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тивная ответственность по части </w:t>
      </w:r>
      <w:r>
        <w:rPr>
          <w:rFonts w:ascii="Times New Roman" w:hAnsi="Times New Roman" w:cs="Times New Roman"/>
          <w:sz w:val="28"/>
          <w:szCs w:val="28"/>
        </w:rPr>
        <w:t xml:space="preserve">1</w:t>
        <w:br/>
      </w:r>
      <w:r>
        <w:rPr>
          <w:rFonts w:ascii="Times New Roman" w:hAnsi="Times New Roman" w:cs="Times New Roman"/>
          <w:sz w:val="28"/>
          <w:szCs w:val="28"/>
        </w:rPr>
        <w:t xml:space="preserve">статьи 15.27 КоАП РФ в виде предупреждения или административного штрафа на должностных лиц (руководителя юридического лица) в размере от 10 тыс. руб. до 30 тыс. руб.; на юридических лиц (индивидуальных предпринимателей) – </w:t>
        <w:br/>
        <w:t xml:space="preserve">от 50 тыс. руб. до 100 тыс. руб.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Осуществление внутреннего контроля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Комплекс мер по внутреннему контролю должен включать в себя: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процедуры идентификации;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информирование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выявленных операциях, подлежащих контролю;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информирование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замораживании (блокировании) денежных средств или иного имущества;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информирование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отказе в совершении операции;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хранение информации, в том числе сведений, необходимых для осуществления процедуры идентификации;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конфиденциальности информации, полученной в результате реализации правил внутреннего контроля;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обучения сотрудников участника оборота ДМДК;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информирование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результатах проведения проверки контрагентов (клиентов) по Перечням и (или) решениям МВК.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Осуществление процедуры идентификации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 процедурой идентификации понимается совокупность проводимых участником оборота ДМДК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установлению сведений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клиентах, их представителях, выгодоприобретателях, бенефициарных владельцах и подтверждению достоверности этих сведений с использованием оригиналов документов и (или) надлежащим образом заверенных копий и (или) государственных и иных информационных систем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Процедура идентификации осуществляется участником оборота ДМДК в отношении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потенциального контрагента (клиента), с которым планируется осуществлять операции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Процедура идентификации проводится поставщиком ДМДК, скупщиком, комиссионером, агентом.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сделках с физическими лицами идентификация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потенциального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контрагента (клиента) проводится во всех случаях, за исключением продажи ювелирного изделия из ДМДК физическому лицу на сумму, не превышающую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40 тыс.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или сумму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40 тыс. рублей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наличный расчет или 200 тыс. рублей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или сумму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 200 тыс. рублей,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оплате банковской картой.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процедуры идентификации контрагента (клиента) необходимо установить его идентификационные данные</w:t>
      </w:r>
      <w:r>
        <w:rPr>
          <w:rStyle w:val="115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и проверить: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актуальные сведения в </w:t>
      </w:r>
      <w:r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юридических лиц (далее – ЕГРЮЛ)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индивидуальных предпринимателей (далее – ЕГРИП)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потенциального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контрагента (клиента) в реестре юридических лиц и индивидуальных предпринимателей, осуществляющих операции с драгоценными металлами и драгоценными камнями;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у потенциального контрагента (клиента) лицензии на скупку ювелирных и других изделий из ДМДК и лома таких изделий, и (или) на осуществление деятельности по обработке (переработке) лома и отходов ДМДК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(в случае, если коды </w:t>
      </w:r>
      <w:r>
        <w:rPr>
          <w:rFonts w:ascii="Times New Roman" w:hAnsi="Times New Roman" w:cs="Times New Roman"/>
          <w:sz w:val="28"/>
          <w:szCs w:val="28"/>
        </w:rPr>
        <w:t xml:space="preserve">согласно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содержатся в ЕГРЮЛ или в ЕГРИП потенциального контрагента (клиента);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потенциального контрагента (клиента) в Перечнях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(или) решениях МВК;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потенциальных </w:t>
      </w:r>
      <w:r>
        <w:rPr>
          <w:rFonts w:ascii="Times New Roman" w:hAnsi="Times New Roman" w:cs="Times New Roman"/>
          <w:sz w:val="28"/>
          <w:szCs w:val="28"/>
        </w:rPr>
        <w:t xml:space="preserve">контрагентов (клиентов) регистрации, места жительства, фактического места нахождения и (или) счета в банке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Исламской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Иран и (или)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орейской Народно-Демократической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осуществлен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процедуры идентификации оценивается уровень риска потенциального контрагента (клиента) на основании программы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оценки степени (уровня) риска совершения клиентом необычных (подозрительных) операций и принятия мер по снижению рисков совершения клиентом необычных (подозрительных) операций,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включенной в ПВК.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В целях определения уровня риска участник оборота ДМДК использует одну или совокупность следующих категорий рисков: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ст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рановые риски - риски, связанные со странами и отдельными географическими территориями (имеются сведения о высоком уровне коррупции либо о ненадлежащих системах ПОД/ФТ в стране, либо высокая террористическая активность, например, Кения, Боливия, Колумбия);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клиентские риски - риски, связанные с клиентами (сложная структура собственности (например, продолжительные «цепочки» взаимозависимых учредителей – юридических лиц), непродолжительный перио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д работы (менее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1 года с даты государственной регистрации), число сотрудников или организационная структура не соответствуют размерам или характеру деятельности клиента (например, у организации много филиалов в разных городах при штатной численности 2-3 человека и др.).;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операционные риски - риски, связанные с продукцией (например, лом и отходы ДМ), услугами (например, комиссионер), каналами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поставок и операциями (сделками), совершаемыми клиентом (например, трансграничные операции, операции, приводящие к возникновению крупных сумм наличности (скупка, заготовка лома ДМ), платежи, получаемые от несвязанных или неизвестных третьих сторон и др.).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Также участник оборота ДМДК может использовать дополнительные категории рисков.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Участник оборота ДМДК разрабатывает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методику оценки степени (уровня) риска при приеме на обслуживание клиента и отнесения клиента к группе риска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которая позволит на основании категорий рисков производить ранжирование потенциальных контрагентов (клиентов) по следующим уровням риска: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высокий,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средний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низкий.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об отнесении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потенциального контрагента (клиента)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определенному уровню риска принимается на основании мотивированного суждения, сформированного по итогам анализа полученных участником оборота ДМДК сведений о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потенциальном контрагенте (клиенте),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представителе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потенциального контрагента (клиента)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выгодоприобретателе и бенефициарном владельце и об операциях, совершаемых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потенциальным контрагентом (клиентом)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в интересах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потенциального контрагента (клиента)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носит субъективно-оценочный характер</w:t>
      </w:r>
      <w:r>
        <w:rPr>
          <w:rStyle w:val="1157"/>
          <w:rFonts w:ascii="Times New Roman" w:hAnsi="Times New Roman" w:cs="Times New Roman"/>
          <w:sz w:val="28"/>
          <w:szCs w:val="28"/>
          <w:highlight w:val="white"/>
        </w:rPr>
        <w:footnoteReference w:id="5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случае, если потенциальным контрагентом (клиентом) является организация,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регистрация и (или)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счета котор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находятся в банке на территории Исламской Республики Иран и (или) Корейской Народно-Демократической Республики, то такому потенциальному контрагенту (клиенту) рекомендуется присваивать высокий уровень риска, вне зависимости от остальных категорий риска.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потенциальным контрагентом (клиентом) является публичное должностное лицо (может выявляться в розничной торговле), то ему рекомендуется присваивать средний уровень риска.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присвоения потенциальному контрагенту (клиенту) высокого уровня риска участник оборота ДМДК дополнительно изучает сведения: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деловой репутации </w:t>
      </w:r>
      <w:r>
        <w:rPr>
          <w:rFonts w:ascii="Times New Roman" w:hAnsi="Times New Roman" w:cs="Times New Roman"/>
          <w:sz w:val="28"/>
          <w:szCs w:val="28"/>
        </w:rPr>
        <w:t xml:space="preserve">контрагент</w:t>
      </w:r>
      <w:r>
        <w:rPr>
          <w:rFonts w:ascii="Times New Roman" w:hAnsi="Times New Roman" w:cs="Times New Roman"/>
          <w:sz w:val="28"/>
          <w:szCs w:val="28"/>
        </w:rPr>
        <w:t xml:space="preserve">а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клиента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источниках происхождения денежных средств и (или) иного имущества клиента;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финансовом положении.</w:t>
      </w:r>
      <w:r/>
    </w:p>
    <w:p>
      <w:pPr>
        <w:contextualSpacing/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непредоставлении указанных сведений участник оборота ДМДК отказывает потенциальному контрагенту (клиенту) в заключении договора.</w:t>
      </w:r>
      <w:r/>
    </w:p>
    <w:p>
      <w:pPr>
        <w:contextualSpacing/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запросе дополнительных сведений в отношении потенциального контрагента (клиента), которому присвоен средний уровень риска, участником оборота ДМДК принимается самостоятельно.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заключения договора с контрагентом (клиен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том), которому присвоен высокий или средний уровень риска, участник оборота ДМДК уделяет особое внимание операциям, совершаемым с таким контрагентом (клиентом), на предмет их признания необычными (подозрительными) и информирования Росфинмониторинга.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процедуры идентифи</w:t>
      </w:r>
      <w:r>
        <w:rPr>
          <w:rFonts w:ascii="Times New Roman" w:hAnsi="Times New Roman" w:cs="Times New Roman"/>
          <w:sz w:val="28"/>
          <w:szCs w:val="28"/>
        </w:rPr>
        <w:t xml:space="preserve">кации потенциального контрагента (клиента) участником оборота ДМДК составляется анкета, ему присваивается определенный уровень риска и принимается решение о возможности или невозможности заключить договор. Решение об отказе в заключении договора принимает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юридического лица, индивидуальный предприниматель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специально уполномоченные ими лица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(например СДЛ, руководитель филиала, бухгалтер, эксперт (в скупке), продавец в ювелирном магазине и т.д.).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контрагента (клиента) участником оборота ДМДК формируется досье, в которое включается анкет</w:t>
      </w:r>
      <w:r>
        <w:rPr>
          <w:rFonts w:ascii="Times New Roman" w:hAnsi="Times New Roman" w:cs="Times New Roman"/>
          <w:sz w:val="28"/>
          <w:szCs w:val="28"/>
        </w:rPr>
        <w:t xml:space="preserve">а и документы, полученные при осуществлении участником оборота ДМДК процедуры идентификации и обновлении сведений о нем. Участник оборота ДМДК хранит досье контрагента (клиента) не менее 5 лет со дня прекращения отношений с контрагентом (клиентом).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ДМДК обновляет информацию о контрагенте (клиенте) не реже 1 раза в 3 года (для контрагентов (клиентов), отнесенны</w:t>
      </w:r>
      <w:r>
        <w:rPr>
          <w:rFonts w:ascii="Times New Roman" w:hAnsi="Times New Roman" w:cs="Times New Roman"/>
          <w:sz w:val="28"/>
          <w:szCs w:val="28"/>
        </w:rPr>
        <w:t xml:space="preserve">х к низкому уровню риска) или не реже 1 раза в 1 год (для остальных контрагентов (клиентов), а в случае возникновения сомнений в достоверности и точности ранее полученной информации – в течение 7 рабочих дней, следующих за днем возникновения этих сомнений.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непрове</w:t>
      </w:r>
      <w:r>
        <w:rPr>
          <w:rFonts w:ascii="Times New Roman" w:hAnsi="Times New Roman" w:cs="Times New Roman"/>
          <w:sz w:val="28"/>
          <w:szCs w:val="28"/>
        </w:rPr>
        <w:t xml:space="preserve">дение участником оборота ДМДК процедуры идентификации или ненадлежащее проведение процедуры идентификации, несвоевременное обновление сведений о контрагентах (клиентах) предусмотрена административная ответственность по части 1 статьи 15.27 КоАП РФ в виде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редупреждения или административного штрафа на должностных лиц (СДЛ или руководителя юридического лица, если не назначено СДЛ) в размере от 10 тыс. руб. до 30 тыс. руб.; на юридических лиц (индивидуальных предпринимателей) – от 50 тыс. руб. до 100 тыс. руб.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Информирование Росфинмониторинга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совершении операции, подлежащей контролю, направляется в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формализованного электронного сообщения (ФЭС) участником оборота ДМДК, являющимся: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продавцом в рамках исполнения условий договора купли - продажи ДМДК;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комиссионером в рамках исполнения условий договора комиссии на реализацию ДМДК;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агентом в рамках исполнения условий агентского договора в случае,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если агент действует от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своего имени и за счет принципала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Если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агент действует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 имени и за счет принципала, то обязанность отчитываться в Росфинмониторинг об операциях, подлежащих контролю, возникает непосредственно у принципала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скупщиком - при скупке ДМДК у физических лиц, а также при реализации скупленных ценностей;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изготовителем ювелирных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лицом, осуществляющим ремонт (в случае, если при производстве или ремонте ювелирных изделий по договору подряда на давальческой основе подрядчик помимо материала заказчика использует собственное сырье и стоимость материалов подрядчика равна или превышает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млн рублей или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сумме в иностранной валюте,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эквивалентной</w:t>
        <w:br/>
        <w:t xml:space="preserve">1 млн рублей,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или превышает 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Style w:val="1157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ФЭС осуществляется участниками оборота ДМДК с помощью программного функционала личного кабинета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представления информации о совершенной операции, подлежащей контролю, участник оборота ДМДК заполняет интерактивную форму ФЭС, размещенную в личном кабинете на сайте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ФЭС подписывается УКЭП участника оборота ДМДК либо руководителя юридического лица, либо СДЛ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участника оборота ДМДК.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случае невозможности представления ФЭС в </w:t>
      </w:r>
      <w:bookmarkStart w:id="2" w:name="_Hlk114099639"/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посредством личного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устранения причин, препятствующих представлению ФЭС, участник оборота ДМДК может представлять машинный (оптический или цифровой) носитель информации, содержащий ФЭС, с приложением сопроводительного письма на бумажном носителе.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ФЭС, размещаемое на машинном (оптическом или цифровом) носителе информации, не требует подписания УКЭП.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Сопроводительное письмо направляется в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нарочным или заказным почт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овым отправлением с уведомлением о вручении. Сопроводительное письмо и машинный (оптический или цифровой) носитель информации помещаются в упаковку, исключающую возможность их повреждения или извлечения информации из них без нарушения целостности упаковки.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Сопроводительное письмо должно содержать следующую информацию об участнике оборота ДМДК: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контактный телефон;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(при наличии), а также подпись руководителя юридического лица, индивидуального предпринимателя либо СДЛ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юридического лица, индивидуального предпринимателя.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непредставление участником оборота ДМДК информации в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рации, подлежащей контролю, или предоставление недостоверной информации о такой операции предусмотрена административная ответственность по части 2 статьи 15.27 КоАП РФ в виде административного штрафа на должностных лиц (СДЛ или руководителя юридического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ца, если не назначен СДЛ) в размере от 30 тыс. руб. до 50 тыс. рублей; на юридических лиц (индивидуальных предпринимателей) - штраф от 200 тыс. руб. до 400 тыс. руб. или административное приостановление деятельности на срок до 60 суток (назначается судом).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нарушение установленного порядка и срока представления участником оборота ДМДК информации в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Росфинмониторинг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операции, подлежащей контролю, предусмотрена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ативная ответственность по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  <w:br/>
        <w:t xml:space="preserve">статьи 15.27 КоАП РФ в виде предупреждения или административного штрафа на должностных лиц (СДЛ или руководителя юридического лица, если не назначен СДЛ)  в размере от 10 тыс. руб. до 30 тыс. руб.; на юридических лиц (индивидуальных предпринимателей)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50 тыс. руб. до 100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4.3. Обучение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сотрудников участника оборота ДМДК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оборота ДМДК отдельным приказом утверждает перечень сотрудников, которые должны проходить обучение в целях ПОД/ФТ.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проводится в следующих формах: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целевой инструктаж;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вводный инструктаж;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дополнительный инструктаж;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повышение уровня знаний.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инструктаж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проводится в одной из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которых размещен на сайте Автономной некоммерческой организации «Международный учебно-методический центр финансового мониторинга» по адресу: </w:t>
      </w:r>
      <w:hyperlink r:id="rId14" w:tooltip="https://mumcfm.ru/partners" w:history="1">
        <w:r>
          <w:rPr>
            <w:rStyle w:val="115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https://mumcfm.ru/partners</w:t>
        </w:r>
      </w:hyperlink>
      <w:r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инструктаж обязаны пройти однократно следующие сотрудники участника оборота ДМДК: руководитель, главный </w:t>
      </w:r>
      <w:r>
        <w:rPr>
          <w:rFonts w:ascii="Times New Roman" w:hAnsi="Times New Roman" w:cs="Times New Roman"/>
          <w:sz w:val="28"/>
          <w:szCs w:val="28"/>
        </w:rPr>
        <w:t xml:space="preserve">бухгалтер (бухгалтер)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должности в штате) либо сотрудник, осуществляющий функции по ведению бухгалтерского учета, руководитель юридического подразделения либо юрист (при наличии должности в штате).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планирующее осуществлять функции СДЛ, проходит целевой инструктаж однократно до начала осуществления таких функций.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СДЛ проводит вводный и дополнительный инструктажи других сотрудников участника оборота ДМДК</w:t>
      </w:r>
      <w:r>
        <w:rPr>
          <w:rStyle w:val="1157"/>
          <w:rFonts w:ascii="Times New Roman" w:hAnsi="Times New Roman" w:cs="Times New Roman"/>
          <w:sz w:val="28"/>
          <w:szCs w:val="28"/>
          <w:highlight w:val="white"/>
        </w:rPr>
        <w:footnoteReference w:id="7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Вводный инструктаж проводится СДЛ при приеме на работу сотрудников участников оборота ДМДК, обязанных проходит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 целевой инструктаж,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также следующих сотрудников участника оборота ДМДК: заместитель руководителя, в соответствии с должностными обязанностями курирующий вопросы организации и осуществления внутреннего контроля в целях ПОД/ФТ, сотрудники службы внутренне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 контроля (при наличии дол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жностей в штате). Также руководитель юридического лица, индивидуальный предприниматель с учетом специфики деятельности может определить других сотрудников участника оборота ДМДК, например продавцов, которые обязаны проходить обучение по ПОД/ФТ.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инструктаж сотрудников участника оборота ДМДК, утвержденных приказом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проводится СДЛ не реже одного раза в год при вступлении в силу или изменении законодательства о ПОД/ФТ, при утверждении или изменении действующих ПВК, при поручении сотруднику участника оборота ДМДК работы, предусматривающей обучение в целях ПОД/ФТ, </w:t>
      </w:r>
      <w:r>
        <w:rPr>
          <w:rFonts w:ascii="Times New Roman" w:hAnsi="Times New Roman" w:cs="Times New Roman"/>
          <w:sz w:val="28"/>
          <w:szCs w:val="28"/>
        </w:rPr>
        <w:t xml:space="preserve">при переводе сотрудника участника оборота ДМДК на другую постоянную работу (временную работу)</w:t>
      </w:r>
      <w:r>
        <w:rPr>
          <w:rFonts w:ascii="Times New Roman" w:hAnsi="Times New Roman" w:cs="Times New Roman"/>
          <w:sz w:val="28"/>
          <w:szCs w:val="28"/>
        </w:rPr>
        <w:t xml:space="preserve"> в случае, когда имеющихся у него знаний в области ПОД/ФТ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для соблюдения законодательства Российской Федерации о ПОД/ФТ.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оборота ДМДК обязаны вести учет прохождения их сотрудниками обучения.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проведенных вводных и дополнительных инструктажах может фиксироваться, например, в отдельных журналах учета.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прохождение сотрудником участника оборота ДМДК обучения, приобщаются к личному делу сотрудника участника оборота ДМДК.</w:t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За непр</w:t>
      </w:r>
      <w:r>
        <w:rPr>
          <w:rFonts w:ascii="Times New Roman" w:hAnsi="Times New Roman" w:cs="Times New Roman"/>
          <w:sz w:val="28"/>
          <w:szCs w:val="28"/>
        </w:rPr>
        <w:t xml:space="preserve">оведение либо несвоевременное проведение обучения сотрудников участника оборота ДМДК предусмотрена административная ответственность по части 1 статьи 15.27 КоАП РФ в виде предупреждения или административного штрафа на должностных лиц (СДЛ или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если не назначен СДЛ) в размере от 10 тыс. руб. до 30 тыс. руб.; на юридических лиц (индивидуальных предпринимателей) – от 50 тыс. руб. до 100 тыс. руб.</w:t>
      </w:r>
      <w:r>
        <w:t xml:space="preserve"> </w:t>
      </w:r>
      <w:r/>
    </w:p>
    <w:p>
      <w:pPr>
        <w:ind w:left="39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headerReference w:type="first" r:id="rId10"/>
          <w:footerReference w:type="default" r:id="rId12"/>
          <w:footnotePr/>
          <w:endnotePr/>
          <w:type w:val="nextPage"/>
          <w:pgSz w:w="11906" w:h="16838" w:orient="portrait"/>
          <w:pgMar w:top="1134" w:right="850" w:bottom="851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9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/>
    </w:p>
    <w:p>
      <w:pPr>
        <w:ind w:left="3969"/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Руководству </w:t>
      </w:r>
      <w:r/>
    </w:p>
    <w:p>
      <w:pPr>
        <w:pStyle w:val="1160"/>
        <w:ind w:left="4248"/>
        <w:jc w:val="center"/>
      </w:pPr>
      <w:r>
        <w:rPr>
          <w:rFonts w:ascii="Times New Roman" w:hAnsi="Times New Roman" w:cs="Times New Roman"/>
        </w:rPr>
        <w:t xml:space="preserve">по соблюдению требований законодательства Российской Федерации о противодействии легализации (отмыванию) доходов,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полученных преступным путем, и финансированию терроризма юридическими лицами и индивидуальными предпринимателями, осуществляющими куплю-продажу, скупку драгоценных металлов и драгоценных камней, ювелирных изделий из них и лома таких изделий, утвержденному </w:t>
      </w:r>
      <w:r>
        <w:rPr>
          <w:rFonts w:ascii="Times New Roman" w:hAnsi="Times New Roman" w:cs="Times New Roman"/>
          <w:bCs/>
        </w:rPr>
        <w:t xml:space="preserve">приказом Федеральной пробирной палаты </w:t>
      </w:r>
      <w:r/>
    </w:p>
    <w:p>
      <w:pPr>
        <w:pStyle w:val="116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от «__</w:t>
      </w:r>
      <w:r>
        <w:rPr>
          <w:rFonts w:ascii="Times New Roman" w:hAnsi="Times New Roman" w:cs="Times New Roman"/>
          <w:bCs/>
        </w:rPr>
        <w:t xml:space="preserve">_»_</w:t>
      </w:r>
      <w:r>
        <w:rPr>
          <w:rFonts w:ascii="Times New Roman" w:hAnsi="Times New Roman" w:cs="Times New Roman"/>
          <w:bCs/>
        </w:rPr>
        <w:t xml:space="preserve">___________ 2022 г. № ______ </w:t>
      </w:r>
      <w:r/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-993" w:firstLine="993"/>
        <w:jc w:val="center"/>
        <w:spacing w:after="0" w:line="240" w:lineRule="auto"/>
        <w:tabs>
          <w:tab w:val="left" w:pos="1785" w:leader="none"/>
        </w:tabs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ПЕРЕЧЕНЬ</w:t>
      </w:r>
      <w:r/>
    </w:p>
    <w:p>
      <w:pPr>
        <w:ind w:left="-993" w:firstLine="993"/>
        <w:jc w:val="center"/>
        <w:spacing w:after="0" w:line="240" w:lineRule="auto"/>
        <w:tabs>
          <w:tab w:val="left" w:pos="1785" w:leader="none"/>
        </w:tabs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видов экономической деятельности в сфере оборота ДМДК, на которые распространяются обязательные требования законодательства о ПОД/ФТ </w:t>
      </w:r>
      <w:r/>
    </w:p>
    <w:p>
      <w:pPr>
        <w:ind w:firstLine="993"/>
        <w:spacing w:after="0" w:line="340" w:lineRule="exact"/>
        <w:tabs>
          <w:tab w:val="left" w:pos="1785" w:leader="none"/>
        </w:tabs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07.29.1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Добыча и обогащение медной руды;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07.29.4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Добыча руд и песков драгоценных металлов и руд редких металлов;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07.29.41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Добыча руд и песков драгоценных металлов (золота, серебра и металлов платиновой группы);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08.99.31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Добыча драгоценных и полудрагоценных камней, кроме алмазов;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08.99.32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Добыча алмазов;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24.41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Производство драгоценных металлов;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32.11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Чеканка монет;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32.12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Производство ювелирных изделий и аналогичных изделий;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32.12.1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Производство изделий технического назначения из драгоценных металлов;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32.12.2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Производство изделий технического назначения из драгоценных камней;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32.12.3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Обработка алмазов;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32.12.4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Обработка драгоценных, полудрагоценных, поделочных и синтетических камней, кроме алмазов и янтаря; производство изделий из полудрагоценных, поделочных и синтетических камней, кроме янтаря;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32.12.5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Производство ювелирных изделий, медалей из драгоценных металлов и драгоценных камней; 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32.12.51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Производство ювелирных изделий, медалей из серебра и драгоценных камней;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ab/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32.12.52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Производство ювелирных изделий, медалей из золота и драгоценных камней;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32.12.59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Производство ювелирных изделий, медалей из прочих драгоценных металлов и драгоценных камней;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32.12.6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Изготовление ювелирных изделий и аналогичных изделий по индивидуальному заказу населения;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32.12.61 -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Изготовление ювелирных изделий и аналогичных изделий по индивидуальному заказу населения из серебра;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32.12.62 -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Изготовление ювелирных изделий и аналогичных изделий по индивидуальному заказу населения из золота;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32.12.69 -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Изготовление ювелирных изделий и аналогичных изделий по индивидуальному заказу населения из прочих драгоценных металлов;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ab/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38.32.2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Обработка отходов и лома драгоценных металлов;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46.48.2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Торговля оптовая ювелирными изделиями;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46.48.21 -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Торговля оптовая ювелирными изделиями из серебра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46.48.22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Торговля оптовая ювелирными изделиями из золота;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46.48.29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Торговля оптовая ювелирными изделиями из прочих драгоценных металлов;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46.72.23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Торговля оптовая золотом и другими драгоценными металлами;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46.76.4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Торговля оптовая драгоценными камнями;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47.77 -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Торговля розничная часами и ювелирными изделиями в специализированных магазинах;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47.77.1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Торговля розничная часами в специализированных магазинах;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47.77.2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Т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орговля розничная ювелирными изделиями в специализированных магазинах;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47.77.21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Торговля розничная ювелирными изделиями из серебра в специализированных магазинах;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47.77.22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Торговля розничная ювелирными изделиями из золота в специализированных магазинах;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47.77.29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Торговля розничная ювелирными изделиями из прочих драгоценных металлов в специализированных магазинах;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ab/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95.25 - 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Ремонт часов и ювелирных изделий;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95.25.2 -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Ремонт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ювелирных изделий;</w:t>
      </w:r>
      <w:r/>
    </w:p>
    <w:p>
      <w:pPr>
        <w:numPr>
          <w:ilvl w:val="0"/>
          <w:numId w:val="6"/>
        </w:numPr>
        <w:ind w:left="0" w:firstLine="993"/>
        <w:jc w:val="both"/>
        <w:spacing w:after="0" w:line="340" w:lineRule="exact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96.09.1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 xml:space="preserve"> - Деятельность по оказанию услуги по скупке у граждан ювелирных изделий.</w:t>
      </w:r>
      <w:r/>
    </w:p>
    <w:p>
      <w:pPr>
        <w:ind w:left="39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850" w:bottom="851" w:left="1134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96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/>
    </w:p>
    <w:p>
      <w:pPr>
        <w:ind w:left="396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к Руководству </w:t>
      </w:r>
      <w:r/>
    </w:p>
    <w:p>
      <w:pPr>
        <w:pStyle w:val="116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соблюдению требований законодательства Российской Федерации о противодействии легализации (отмыванию) доходов,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полученных преступным путем, и финансированию терроризма юридическими лицами и индивидуальными предпринимателями, осуществляющими куплю-продажу, скупку драгоценных металлов и драгоценных камней, ювелирных изделий из них и лома таких изделий, утвержденному </w:t>
      </w:r>
      <w:r>
        <w:rPr>
          <w:rFonts w:ascii="Times New Roman" w:hAnsi="Times New Roman" w:cs="Times New Roman"/>
          <w:bCs/>
        </w:rPr>
        <w:t xml:space="preserve">приказом Федеральной пробирной палаты </w:t>
      </w:r>
      <w:r/>
    </w:p>
    <w:p>
      <w:pPr>
        <w:pStyle w:val="116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от «__</w:t>
      </w:r>
      <w:r>
        <w:rPr>
          <w:rFonts w:ascii="Times New Roman" w:hAnsi="Times New Roman" w:cs="Times New Roman"/>
          <w:bCs/>
        </w:rPr>
        <w:t xml:space="preserve">_»_</w:t>
      </w:r>
      <w:r>
        <w:rPr>
          <w:rFonts w:ascii="Times New Roman" w:hAnsi="Times New Roman" w:cs="Times New Roman"/>
          <w:bCs/>
        </w:rPr>
        <w:t xml:space="preserve">___________ 2022 г. № ______ </w:t>
      </w:r>
      <w:r/>
    </w:p>
    <w:p>
      <w:pPr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</w:t>
      </w:r>
      <w:r/>
    </w:p>
    <w:p>
      <w:pPr>
        <w:ind w:firstLine="851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кодов видов признаков необычных (подозрительных) операций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(сделок)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Код признака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Признаки необычных (подозрительных) операций (сделок), выявляемые при осуществлении скупки, купли-продажи драгоценных металлов и драгоценных камней, ювелирных изделий из них и лома таких изделий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Систематическое приобретение физическим лицом нескольких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Отклонение стоимости драгоценных металлов, драгоценных камней, ювелирных изделий из них или других бытовых изделий из лома и отходов в рамках договора более чем на 20% в сторону повышения или в сторону понижения от уровня рыночных цен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Получение партии (партий) ювелирных и (или) других бытовых изделий из драгоценных металлов и драгоценных камней с возможно фальшивыми оттисками пробирных клейм, с незарегистрированными оттисками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именников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производителей и (или) без оттисков государственных пробирных клейм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Приобретение юридическим лицом - производителем ювелирной продукции минерального сырья у организаций и (или) старательских артелей, осуществляющих добычу драгоценных металлов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Приобретение юридическим лицом - производителем продукции, не осуществляющим деятельность по огранке драгоценных камней, алмазного сырья и драгоценных камней в сыром (не обработанном) виде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Приобретение юридическим лицом ограненных драгоценных камней (за исключением бриллиантов), не добывающихся на территории Российской Федерации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Неисполнение клиентом обязанности по постановке на специальный учет в Федеральной пробирной палате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Перечисление по поручению сдатчика денежных средств за скупленные драгоценные металлы и драгоценные камни, ювелирные и другие изделия из них, и лом таких изделий на счета третьих лиц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Попытка или предложение клиента совершить операци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ю (сделку) без направления информации по факту оборота продукции, ювелирных изделий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Попы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тка или предложение клиента совершить операцию (сделку) с ювелирными и другими изделиями из драгоценных металлов и (или) драгоценных камней, не имеющими бирки или ярлыка с нанесенными на них двухмерным штриховым кодом и уникальным идентификационным номером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Попытка или предложение клиента совершить операцию (сделку) с драгоценными камнями, чьи классификационные характеристики не определены либо определ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ены не полностью или не в соответствии с нормативными техническими документами, действующими в качестве единых на таможенной территории Евразийского экономического союза для целей определения классификационных и стоимостных характеристик драгоценных камней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Попытка или предложение клиента (физического лица) совершить с организацией-скупщиком сделку с драгоценными металлами и драгоценными камнями, не подлежащими скупке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Однократная сдача в скупку физическим лицом ювелирных и других изделий из драгоценных металлов и (или) драгоценных камней в количестве 10 и более единиц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Совершение сделки по продаже (передаче) организацией-скупщиком организации-переработчику для переработки или аффинажной 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рганизации для аффинажа монет из драгоценных металлов, если их рыночная стоимость выше стоимости драгоценных металлов, из которых они изготовлены, если их рыночная стоимость на 20% и более превышает стоимость драгоценного металла из которых они изготовлены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Многократная (3 и более раз в год) сдача физическим лицом на комиссию ювелирных и других изделий из драгоценных металлов и (или) драгоценных камней без оттисков государственных пробирных клейм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Перечисление по поручению комитента денежных средств за реализованные драгоценные металлы и драгоценные камни, ювелирные и другие изделия из драгоценных металлов и (или) драгоценных камней и лом таких изделий на счета третьих лиц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Попытка или пред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ложение клиента совершить операцию (сделку) с мерными и (или) стандартными слитками аффинированных драгоценных металлов, на паспорта, сертификаты которых не нанесены двухмерный штриховой код и уникальный идентификационный номер в сочетании с номером слитка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3899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Иные признаки, свидетельствующие 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возможном осуществлении легализации (отмывания) доходов, полученных преступным путем, или финансировании терроризма, при совершении операций (сделок) с драгоценными металлами и драгоценными камнями, ювелирными и иными изделиями из них и лома таких изделий</w:t>
            </w:r>
            <w:r/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851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Wingdings">
    <w:panose1 w:val="05000000000000000000"/>
  </w:font>
  <w:font w:name="PT Sans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55"/>
        <w:jc w:val="both"/>
        <w:rPr>
          <w:rFonts w:ascii="Times New Roman" w:hAnsi="Times New Roman" w:cs="Times New Roman"/>
        </w:rPr>
      </w:pPr>
      <w:r>
        <w:rPr>
          <w:rStyle w:val="1157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 Приказ Росфинмониторинга от 8 февраля 2022 г. № 18 «Об утверждении Особен</w:t>
      </w:r>
      <w:r>
        <w:rPr>
          <w:rFonts w:ascii="Times New Roman" w:hAnsi="Times New Roman" w:cs="Times New Roman"/>
          <w:szCs w:val="24"/>
        </w:rPr>
        <w:t xml:space="preserve">н</w:t>
      </w:r>
      <w:r>
        <w:rPr>
          <w:rFonts w:ascii="Times New Roman" w:hAnsi="Times New Roman" w:cs="Times New Roman"/>
          <w:szCs w:val="24"/>
        </w:rPr>
        <w:t xml:space="preserve">о</w:t>
      </w:r>
      <w:r>
        <w:rPr>
          <w:rFonts w:ascii="Times New Roman" w:hAnsi="Times New Roman" w:cs="Times New Roman"/>
          <w:szCs w:val="24"/>
        </w:rPr>
        <w:t xml:space="preserve">стей представления в Федеральную службу по финансовому мониторингу информации, предусмотренной Федеральным законом </w:t>
        <w:br/>
        <w:t xml:space="preserve">от 7 августа 2001 г. № 115-ФЗ «О противодействии легализации (отмыванию) доходов, полученных преступным путем, и финансированию терроризма».</w:t>
      </w:r>
      <w:r/>
    </w:p>
  </w:footnote>
  <w:footnote w:id="3">
    <w:p>
      <w:pPr>
        <w:pStyle w:val="1155"/>
        <w:jc w:val="both"/>
        <w:rPr>
          <w:rFonts w:ascii="Times New Roman" w:hAnsi="Times New Roman" w:eastAsia="Times New Roman" w:cs="Times New Roman"/>
        </w:rPr>
      </w:pPr>
      <w:r>
        <w:rPr>
          <w:rStyle w:val="1157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Приказ Росфинмониторинга от 20 июля 2020 г. № 175</w:t>
      </w:r>
      <w:r>
        <w:rPr>
          <w:rFonts w:ascii="Times New Roman" w:hAnsi="Times New Roman" w:eastAsia="Times New Roman" w:cs="Times New Roman"/>
        </w:rPr>
        <w:t xml:space="preserve"> «Об утверждении Порядка ведения личного кабинета, а также Порядка доступа к личному кабинету и его использования».</w:t>
      </w:r>
      <w:r>
        <w:rPr>
          <w:rFonts w:ascii="Times New Roman" w:hAnsi="Times New Roman" w:eastAsia="Times New Roman" w:cs="Times New Roman"/>
        </w:rPr>
      </w:r>
      <w:r/>
    </w:p>
  </w:footnote>
  <w:footnote w:id="4">
    <w:p>
      <w:pPr>
        <w:pStyle w:val="1155"/>
        <w:jc w:val="both"/>
        <w:rPr>
          <w:rFonts w:ascii="Times New Roman" w:hAnsi="Times New Roman" w:eastAsia="Times New Roman" w:cs="Times New Roman"/>
          <w:sz w:val="20"/>
        </w:rPr>
      </w:pPr>
      <w:r>
        <w:rPr>
          <w:rStyle w:val="1157"/>
          <w:rFonts w:ascii="Times New Roman" w:hAnsi="Times New Roman" w:eastAsia="Times New Roman" w:cs="Times New Roman"/>
          <w:sz w:val="20"/>
        </w:rPr>
        <w:footnoteRef/>
      </w: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4"/>
        </w:rPr>
        <w:t xml:space="preserve">Набор данных, подлежащих установлению при осуществлении процедуры ид</w:t>
      </w:r>
      <w:r>
        <w:rPr>
          <w:rFonts w:ascii="Times New Roman" w:hAnsi="Times New Roman" w:eastAsia="Times New Roman" w:cs="Times New Roman"/>
          <w:sz w:val="20"/>
          <w:szCs w:val="24"/>
        </w:rPr>
        <w:t xml:space="preserve">ентификации, установлен требованиями к идентификации клиентов, представителей клиента, выгодоприобретателей и бенефициарных владельцев, в том числе с учетом степени (уровня) риска совершения подозрительных операций, утвержденными приказом Росфинмониторинга</w:t>
      </w:r>
      <w:r>
        <w:rPr>
          <w:rFonts w:ascii="Times New Roman" w:hAnsi="Times New Roman" w:eastAsia="Times New Roman" w:cs="Times New Roman"/>
          <w:sz w:val="20"/>
          <w:szCs w:val="24"/>
        </w:rPr>
        <w:t xml:space="preserve"> от 20 мая 2022 г. № 100.</w:t>
      </w:r>
      <w:r>
        <w:rPr>
          <w:rFonts w:ascii="Times New Roman" w:hAnsi="Times New Roman" w:eastAsia="Times New Roman" w:cs="Times New Roman"/>
          <w:sz w:val="20"/>
        </w:rPr>
      </w:r>
      <w:r/>
    </w:p>
  </w:footnote>
  <w:footnote w:id="5">
    <w:p>
      <w:pPr>
        <w:pStyle w:val="1155"/>
        <w:jc w:val="both"/>
        <w:rPr>
          <w:rFonts w:ascii="Times New Roman" w:hAnsi="Times New Roman" w:eastAsia="Times New Roman" w:cs="Times New Roman"/>
        </w:rPr>
      </w:pPr>
      <w:r>
        <w:rPr>
          <w:rStyle w:val="1157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Пункт 15(1) требований к </w:t>
      </w:r>
      <w:r>
        <w:rPr>
          <w:rFonts w:ascii="Times New Roman" w:hAnsi="Times New Roman" w:eastAsia="Times New Roman" w:cs="Times New Roman"/>
        </w:rPr>
        <w:t xml:space="preserve">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утвержденных постановлением Правительства Российской Федерации от 30 июня 2012 г. № 667.</w:t>
      </w:r>
      <w:r/>
    </w:p>
  </w:footnote>
  <w:footnote w:id="6">
    <w:p>
      <w:pPr>
        <w:pStyle w:val="1155"/>
        <w:jc w:val="both"/>
        <w:rPr>
          <w:rFonts w:ascii="Times New Roman" w:hAnsi="Times New Roman" w:eastAsia="Times New Roman" w:cs="Times New Roman"/>
        </w:rPr>
      </w:pPr>
      <w:r>
        <w:rPr>
          <w:rStyle w:val="1157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Пункт 28 </w:t>
      </w:r>
      <w:r>
        <w:rPr>
          <w:rFonts w:ascii="Times New Roman" w:hAnsi="Times New Roman" w:eastAsia="Times New Roman" w:cs="Times New Roman"/>
        </w:rPr>
        <w:t xml:space="preserve">информационного письма Росфинмониторинга от 20 сентября 2021 г. № 63 </w:t>
      </w:r>
      <w:r>
        <w:rPr>
          <w:rFonts w:ascii="Times New Roman" w:hAnsi="Times New Roman" w:eastAsia="Times New Roman" w:cs="Times New Roman"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О применении организациями и индивидуальными предпринимателями, осуществляющими скупку, куплю-продажу драгоценных металлов, драгоценных камней, ювелирных изделий из них и лома таких изделий, отдельных норм законодательства в сфере противодействия легализац</w:t>
      </w:r>
      <w:r>
        <w:rPr>
          <w:rFonts w:ascii="Times New Roman" w:hAnsi="Times New Roman" w:eastAsia="Times New Roman" w:cs="Times New Roman"/>
        </w:rPr>
        <w:t xml:space="preserve">ии (отмыванию) доходов, полученных преступным путем, и финансированию терроризма».</w:t>
      </w:r>
      <w:r>
        <w:rPr>
          <w:rFonts w:ascii="Times New Roman" w:hAnsi="Times New Roman" w:eastAsia="Times New Roman" w:cs="Times New Roman"/>
        </w:rPr>
      </w:r>
      <w:r/>
    </w:p>
  </w:footnote>
  <w:footnote w:id="7">
    <w:p>
      <w:pPr>
        <w:pStyle w:val="1155"/>
        <w:jc w:val="both"/>
        <w:rPr>
          <w:rFonts w:ascii="Times New Roman" w:hAnsi="Times New Roman" w:eastAsia="Times New Roman" w:cs="Times New Roman"/>
        </w:rPr>
      </w:pPr>
      <w:r>
        <w:rPr>
          <w:rStyle w:val="1157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Пункт 7 </w:t>
      </w:r>
      <w:r>
        <w:rPr>
          <w:rFonts w:ascii="Times New Roman" w:hAnsi="Times New Roman" w:eastAsia="Times New Roman" w:cs="Times New Roman"/>
        </w:rPr>
        <w:t xml:space="preserve">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eastAsia="Times New Roman" w:cs="Times New Roman"/>
        </w:rPr>
        <w:t xml:space="preserve">, утвержденного </w:t>
      </w:r>
      <w:r>
        <w:rPr>
          <w:rFonts w:ascii="Times New Roman" w:hAnsi="Times New Roman" w:eastAsia="Times New Roman" w:cs="Times New Roman"/>
        </w:rPr>
        <w:t xml:space="preserve">приказом Росфинмониторинга </w:t>
        <w:br/>
        <w:t xml:space="preserve">от 3 августа 2010 г. № 203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1896999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  <w:rPr>
            <w:rFonts w:ascii="Times New Roman" w:hAnsi="Times New Roman" w:eastAsia="Times New Roman" w:cs="Times New Roman"/>
            <w:sz w:val="24"/>
          </w:rPr>
        </w:pPr>
        <w:r>
          <w:rPr>
            <w:rFonts w:ascii="Times New Roman" w:hAnsi="Times New Roman" w:eastAsia="Times New Roman" w:cs="Times New Roman"/>
            <w:sz w:val="24"/>
          </w:rPr>
          <w:fldChar w:fldCharType="begin"/>
        </w:r>
        <w:r>
          <w:rPr>
            <w:rFonts w:ascii="Times New Roman" w:hAnsi="Times New Roman" w:eastAsia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4"/>
          </w:rPr>
          <w:fldChar w:fldCharType="separate"/>
        </w:r>
        <w:r>
          <w:rPr>
            <w:rFonts w:ascii="Times New Roman" w:hAnsi="Times New Roman" w:eastAsia="Times New Roman" w:cs="Times New Roman"/>
            <w:sz w:val="24"/>
          </w:rPr>
          <w:t xml:space="preserve">19</w:t>
        </w:r>
        <w:r>
          <w:rPr>
            <w:rFonts w:ascii="Times New Roman" w:hAnsi="Times New Roman" w:eastAsia="Times New Roman" w:cs="Times New Roman"/>
            <w:sz w:val="24"/>
          </w:rPr>
          <w:fldChar w:fldCharType="end"/>
        </w:r>
        <w:r/>
      </w:p>
    </w:sdtContent>
  </w:sdt>
  <w:p>
    <w:pPr>
      <w:pStyle w:val="11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2"/>
      <w:jc w:val="right"/>
    </w:pPr>
    <w:r/>
    <w:r/>
  </w:p>
  <w:p>
    <w:pPr>
      <w:pStyle w:val="11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40356724"/>
      <w:docPartObj>
        <w:docPartGallery w:val="Page Numbers (Top of Page)"/>
        <w:docPartUnique w:val="true"/>
      </w:docPartObj>
      <w:rPr/>
    </w:sdtPr>
    <w:sdtContent>
      <w:p>
        <w:pPr>
          <w:pStyle w:val="1152"/>
          <w:jc w:val="center"/>
          <w:rPr>
            <w:rFonts w:ascii="Times New Roman" w:hAnsi="Times New Roman" w:eastAsia="Times New Roman" w:cs="Times New Roman"/>
            <w:sz w:val="24"/>
          </w:rPr>
        </w:pPr>
        <w:r>
          <w:rPr>
            <w:rFonts w:ascii="Times New Roman" w:hAnsi="Times New Roman" w:eastAsia="Times New Roman" w:cs="Times New Roman"/>
            <w:sz w:val="24"/>
          </w:rPr>
          <w:fldChar w:fldCharType="begin"/>
        </w:r>
        <w:r>
          <w:rPr>
            <w:rFonts w:ascii="Times New Roman" w:hAnsi="Times New Roman" w:eastAsia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4"/>
          </w:rPr>
          <w:fldChar w:fldCharType="separate"/>
        </w:r>
        <w:r>
          <w:rPr>
            <w:rFonts w:ascii="Times New Roman" w:hAnsi="Times New Roman" w:eastAsia="Times New Roman" w:cs="Times New Roman"/>
            <w:sz w:val="24"/>
          </w:rPr>
          <w:t xml:space="preserve">19</w:t>
        </w:r>
        <w:r>
          <w:rPr>
            <w:rFonts w:ascii="Times New Roman" w:hAnsi="Times New Roman" w:eastAsia="Times New Roman" w:cs="Times New Roman"/>
            <w:sz w:val="24"/>
          </w:rPr>
          <w:fldChar w:fldCharType="end"/>
        </w:r>
        <w:r/>
      </w:p>
    </w:sdtContent>
  </w:sdt>
  <w:p>
    <w:pPr>
      <w:pStyle w:val="11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8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53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53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17"/>
  </w:num>
  <w:num w:numId="9">
    <w:abstractNumId w:val="9"/>
  </w:num>
  <w:num w:numId="10">
    <w:abstractNumId w:val="16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  <w:num w:numId="19">
    <w:abstractNumId w:val="5"/>
  </w:num>
  <w:num w:numId="20">
    <w:abstractNumId w:val="4"/>
  </w:num>
  <w:num w:numId="21">
    <w:abstractNumId w:val="1"/>
  </w:num>
  <w:num w:numId="22">
    <w:abstractNumId w:val="13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4" w:default="1">
    <w:name w:val="Normal"/>
    <w:qFormat/>
    <w:pPr>
      <w:spacing w:after="200" w:line="276" w:lineRule="auto"/>
    </w:pPr>
  </w:style>
  <w:style w:type="paragraph" w:styleId="845">
    <w:name w:val="Heading 1"/>
    <w:basedOn w:val="844"/>
    <w:next w:val="844"/>
    <w:link w:val="9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46">
    <w:name w:val="Heading 2"/>
    <w:basedOn w:val="844"/>
    <w:next w:val="844"/>
    <w:link w:val="9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47">
    <w:name w:val="Heading 3"/>
    <w:basedOn w:val="844"/>
    <w:next w:val="844"/>
    <w:link w:val="9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48">
    <w:name w:val="Heading 4"/>
    <w:basedOn w:val="844"/>
    <w:next w:val="844"/>
    <w:link w:val="9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9">
    <w:name w:val="Heading 5"/>
    <w:basedOn w:val="844"/>
    <w:next w:val="844"/>
    <w:link w:val="9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0">
    <w:name w:val="Heading 6"/>
    <w:basedOn w:val="844"/>
    <w:next w:val="844"/>
    <w:link w:val="9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51">
    <w:name w:val="Heading 7"/>
    <w:basedOn w:val="844"/>
    <w:next w:val="844"/>
    <w:link w:val="9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52">
    <w:name w:val="Heading 8"/>
    <w:basedOn w:val="844"/>
    <w:next w:val="844"/>
    <w:link w:val="9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53">
    <w:name w:val="Heading 9"/>
    <w:basedOn w:val="844"/>
    <w:next w:val="844"/>
    <w:link w:val="9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Grid Light"/>
    <w:basedOn w:val="8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8" w:customStyle="1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76" w:customStyle="1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7" w:customStyle="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8" w:customStyle="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9" w:customStyle="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80" w:customStyle="1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1" w:customStyle="1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5" w:customStyle="1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7" w:customStyle="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Table Grid Light1"/>
    <w:basedOn w:val="8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16" w:customStyle="1">
    <w:name w:val="Grid Table 1 Light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Grid Table 1 Light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Grid Table 1 Light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Grid Table 1 Light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Grid Table 2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2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2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2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2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3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3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3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3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3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4 - Accent 1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34" w:customStyle="1">
    <w:name w:val="Grid Table 4 - Accent 2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35" w:customStyle="1">
    <w:name w:val="Grid Table 4 - Accent 3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36" w:customStyle="1">
    <w:name w:val="Grid Table 4 - Accent 4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37" w:customStyle="1">
    <w:name w:val="Grid Table 4 - Accent 5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38" w:customStyle="1">
    <w:name w:val="Grid Table 4 - Accent 6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39" w:customStyle="1">
    <w:name w:val="Grid Table 5 Dark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40" w:customStyle="1">
    <w:name w:val="Grid Table 5 Dark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41" w:customStyle="1">
    <w:name w:val="Grid Table 5 Dark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42" w:customStyle="1">
    <w:name w:val="Grid Table 5 Dark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43" w:customStyle="1">
    <w:name w:val="List Table 1 Light - Accent 1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2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3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4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5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6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2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55" w:customStyle="1">
    <w:name w:val="List Table 3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5 Dark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character" w:styleId="973" w:customStyle="1">
    <w:name w:val="Heading 1 Char"/>
    <w:basedOn w:val="854"/>
    <w:uiPriority w:val="9"/>
    <w:rPr>
      <w:rFonts w:ascii="Arial" w:hAnsi="Arial" w:eastAsia="Arial" w:cs="Arial"/>
      <w:sz w:val="40"/>
      <w:szCs w:val="40"/>
    </w:rPr>
  </w:style>
  <w:style w:type="character" w:styleId="974" w:customStyle="1">
    <w:name w:val="Heading 2 Char"/>
    <w:basedOn w:val="854"/>
    <w:uiPriority w:val="9"/>
    <w:rPr>
      <w:rFonts w:ascii="Arial" w:hAnsi="Arial" w:eastAsia="Arial" w:cs="Arial"/>
      <w:sz w:val="34"/>
    </w:rPr>
  </w:style>
  <w:style w:type="character" w:styleId="975" w:customStyle="1">
    <w:name w:val="Heading 3 Char"/>
    <w:basedOn w:val="854"/>
    <w:uiPriority w:val="9"/>
    <w:rPr>
      <w:rFonts w:ascii="Arial" w:hAnsi="Arial" w:eastAsia="Arial" w:cs="Arial"/>
      <w:sz w:val="30"/>
      <w:szCs w:val="30"/>
    </w:rPr>
  </w:style>
  <w:style w:type="character" w:styleId="976" w:customStyle="1">
    <w:name w:val="Heading 4 Char"/>
    <w:basedOn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977" w:customStyle="1">
    <w:name w:val="Heading 5 Char"/>
    <w:basedOn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978" w:customStyle="1">
    <w:name w:val="Heading 6 Char"/>
    <w:basedOn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979" w:customStyle="1">
    <w:name w:val="Heading 7 Char"/>
    <w:basedOn w:val="8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80" w:customStyle="1">
    <w:name w:val="Heading 8 Char"/>
    <w:basedOn w:val="854"/>
    <w:uiPriority w:val="9"/>
    <w:rPr>
      <w:rFonts w:ascii="Arial" w:hAnsi="Arial" w:eastAsia="Arial" w:cs="Arial"/>
      <w:i/>
      <w:iCs/>
      <w:sz w:val="22"/>
      <w:szCs w:val="22"/>
    </w:rPr>
  </w:style>
  <w:style w:type="character" w:styleId="981" w:customStyle="1">
    <w:name w:val="Heading 9 Char"/>
    <w:basedOn w:val="854"/>
    <w:uiPriority w:val="9"/>
    <w:rPr>
      <w:rFonts w:ascii="Arial" w:hAnsi="Arial" w:eastAsia="Arial" w:cs="Arial"/>
      <w:i/>
      <w:iCs/>
      <w:sz w:val="21"/>
      <w:szCs w:val="21"/>
    </w:rPr>
  </w:style>
  <w:style w:type="character" w:styleId="982" w:customStyle="1">
    <w:name w:val="Title Char"/>
    <w:basedOn w:val="854"/>
    <w:uiPriority w:val="10"/>
    <w:rPr>
      <w:sz w:val="48"/>
      <w:szCs w:val="48"/>
    </w:rPr>
  </w:style>
  <w:style w:type="character" w:styleId="983" w:customStyle="1">
    <w:name w:val="Subtitle Char"/>
    <w:basedOn w:val="854"/>
    <w:uiPriority w:val="11"/>
    <w:rPr>
      <w:sz w:val="24"/>
      <w:szCs w:val="24"/>
    </w:rPr>
  </w:style>
  <w:style w:type="character" w:styleId="984" w:customStyle="1">
    <w:name w:val="Quote Char"/>
    <w:uiPriority w:val="29"/>
    <w:rPr>
      <w:i/>
    </w:rPr>
  </w:style>
  <w:style w:type="character" w:styleId="985" w:customStyle="1">
    <w:name w:val="Intense Quote Char"/>
    <w:uiPriority w:val="30"/>
    <w:rPr>
      <w:i/>
    </w:rPr>
  </w:style>
  <w:style w:type="character" w:styleId="986" w:customStyle="1">
    <w:name w:val="Caption Char"/>
    <w:uiPriority w:val="99"/>
  </w:style>
  <w:style w:type="character" w:styleId="987" w:customStyle="1">
    <w:name w:val="Endnote Text Char"/>
    <w:uiPriority w:val="99"/>
    <w:rPr>
      <w:sz w:val="20"/>
    </w:rPr>
  </w:style>
  <w:style w:type="character" w:styleId="988" w:customStyle="1">
    <w:name w:val="Заголовок 1 Знак"/>
    <w:basedOn w:val="854"/>
    <w:link w:val="845"/>
    <w:uiPriority w:val="9"/>
    <w:rPr>
      <w:rFonts w:ascii="Arial" w:hAnsi="Arial" w:eastAsia="Arial" w:cs="Arial"/>
      <w:sz w:val="40"/>
      <w:szCs w:val="40"/>
    </w:rPr>
  </w:style>
  <w:style w:type="character" w:styleId="989" w:customStyle="1">
    <w:name w:val="Заголовок 2 Знак"/>
    <w:basedOn w:val="854"/>
    <w:link w:val="846"/>
    <w:uiPriority w:val="9"/>
    <w:rPr>
      <w:rFonts w:ascii="Arial" w:hAnsi="Arial" w:eastAsia="Arial" w:cs="Arial"/>
      <w:sz w:val="34"/>
    </w:rPr>
  </w:style>
  <w:style w:type="character" w:styleId="990" w:customStyle="1">
    <w:name w:val="Заголовок 3 Знак"/>
    <w:basedOn w:val="854"/>
    <w:link w:val="847"/>
    <w:uiPriority w:val="9"/>
    <w:rPr>
      <w:rFonts w:ascii="Arial" w:hAnsi="Arial" w:eastAsia="Arial" w:cs="Arial"/>
      <w:sz w:val="30"/>
      <w:szCs w:val="30"/>
    </w:rPr>
  </w:style>
  <w:style w:type="character" w:styleId="991" w:customStyle="1">
    <w:name w:val="Заголовок 4 Знак"/>
    <w:basedOn w:val="854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992" w:customStyle="1">
    <w:name w:val="Заголовок 5 Знак"/>
    <w:basedOn w:val="854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993" w:customStyle="1">
    <w:name w:val="Заголовок 6 Знак"/>
    <w:basedOn w:val="854"/>
    <w:link w:val="850"/>
    <w:uiPriority w:val="9"/>
    <w:rPr>
      <w:rFonts w:ascii="Arial" w:hAnsi="Arial" w:eastAsia="Arial" w:cs="Arial"/>
      <w:b/>
      <w:bCs/>
      <w:sz w:val="22"/>
      <w:szCs w:val="22"/>
    </w:rPr>
  </w:style>
  <w:style w:type="character" w:styleId="994" w:customStyle="1">
    <w:name w:val="Заголовок 7 Знак"/>
    <w:basedOn w:val="854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5" w:customStyle="1">
    <w:name w:val="Заголовок 8 Знак"/>
    <w:basedOn w:val="854"/>
    <w:link w:val="852"/>
    <w:uiPriority w:val="9"/>
    <w:rPr>
      <w:rFonts w:ascii="Arial" w:hAnsi="Arial" w:eastAsia="Arial" w:cs="Arial"/>
      <w:i/>
      <w:iCs/>
      <w:sz w:val="22"/>
      <w:szCs w:val="22"/>
    </w:rPr>
  </w:style>
  <w:style w:type="character" w:styleId="996" w:customStyle="1">
    <w:name w:val="Заголовок 9 Знак"/>
    <w:basedOn w:val="854"/>
    <w:link w:val="853"/>
    <w:uiPriority w:val="9"/>
    <w:rPr>
      <w:rFonts w:ascii="Arial" w:hAnsi="Arial" w:eastAsia="Arial" w:cs="Arial"/>
      <w:i/>
      <w:iCs/>
      <w:sz w:val="21"/>
      <w:szCs w:val="21"/>
    </w:rPr>
  </w:style>
  <w:style w:type="paragraph" w:styleId="997">
    <w:name w:val="No Spacing"/>
    <w:uiPriority w:val="1"/>
    <w:qFormat/>
    <w:pPr>
      <w:spacing w:after="0" w:line="240" w:lineRule="auto"/>
    </w:pPr>
  </w:style>
  <w:style w:type="paragraph" w:styleId="998">
    <w:name w:val="Title"/>
    <w:basedOn w:val="844"/>
    <w:next w:val="844"/>
    <w:link w:val="999"/>
    <w:uiPriority w:val="10"/>
    <w:qFormat/>
    <w:pPr>
      <w:contextualSpacing/>
      <w:spacing w:before="300"/>
    </w:pPr>
    <w:rPr>
      <w:sz w:val="48"/>
      <w:szCs w:val="48"/>
    </w:rPr>
  </w:style>
  <w:style w:type="character" w:styleId="999" w:customStyle="1">
    <w:name w:val="Заголовок Знак"/>
    <w:basedOn w:val="854"/>
    <w:link w:val="998"/>
    <w:uiPriority w:val="10"/>
    <w:rPr>
      <w:sz w:val="48"/>
      <w:szCs w:val="48"/>
    </w:rPr>
  </w:style>
  <w:style w:type="paragraph" w:styleId="1000">
    <w:name w:val="Subtitle"/>
    <w:basedOn w:val="844"/>
    <w:next w:val="844"/>
    <w:link w:val="1001"/>
    <w:uiPriority w:val="11"/>
    <w:qFormat/>
    <w:pPr>
      <w:spacing w:before="200"/>
    </w:pPr>
    <w:rPr>
      <w:sz w:val="24"/>
      <w:szCs w:val="24"/>
    </w:rPr>
  </w:style>
  <w:style w:type="character" w:styleId="1001" w:customStyle="1">
    <w:name w:val="Подзаголовок Знак"/>
    <w:basedOn w:val="854"/>
    <w:link w:val="1000"/>
    <w:uiPriority w:val="11"/>
    <w:rPr>
      <w:sz w:val="24"/>
      <w:szCs w:val="24"/>
    </w:rPr>
  </w:style>
  <w:style w:type="paragraph" w:styleId="1002">
    <w:name w:val="Quote"/>
    <w:basedOn w:val="844"/>
    <w:next w:val="844"/>
    <w:link w:val="1003"/>
    <w:uiPriority w:val="29"/>
    <w:qFormat/>
    <w:pPr>
      <w:ind w:left="720" w:right="720"/>
    </w:pPr>
    <w:rPr>
      <w:i/>
    </w:rPr>
  </w:style>
  <w:style w:type="character" w:styleId="1003" w:customStyle="1">
    <w:name w:val="Цитата 2 Знак"/>
    <w:link w:val="1002"/>
    <w:uiPriority w:val="29"/>
    <w:rPr>
      <w:i/>
    </w:rPr>
  </w:style>
  <w:style w:type="paragraph" w:styleId="1004">
    <w:name w:val="Intense Quote"/>
    <w:basedOn w:val="844"/>
    <w:next w:val="844"/>
    <w:link w:val="10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5" w:customStyle="1">
    <w:name w:val="Выделенная цитата Знак"/>
    <w:link w:val="1004"/>
    <w:uiPriority w:val="30"/>
    <w:rPr>
      <w:i/>
    </w:rPr>
  </w:style>
  <w:style w:type="character" w:styleId="1006" w:customStyle="1">
    <w:name w:val="Header Char"/>
    <w:basedOn w:val="854"/>
    <w:uiPriority w:val="99"/>
  </w:style>
  <w:style w:type="paragraph" w:styleId="1007">
    <w:name w:val="Footer"/>
    <w:basedOn w:val="844"/>
    <w:link w:val="10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08" w:customStyle="1">
    <w:name w:val="Footer Char"/>
    <w:basedOn w:val="854"/>
    <w:uiPriority w:val="99"/>
  </w:style>
  <w:style w:type="paragraph" w:styleId="1009">
    <w:name w:val="Caption"/>
    <w:basedOn w:val="844"/>
    <w:next w:val="844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1010" w:customStyle="1">
    <w:name w:val="Нижний колонтитул Знак"/>
    <w:link w:val="1007"/>
    <w:uiPriority w:val="99"/>
  </w:style>
  <w:style w:type="table" w:styleId="1011" w:customStyle="1">
    <w:name w:val="Table Grid Light1"/>
    <w:basedOn w:val="8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12">
    <w:name w:val="Plain Table 1"/>
    <w:basedOn w:val="8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2"/>
    <w:basedOn w:val="8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Grid Table 1 Light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Grid Table 1 Light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Grid Table 1 Light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2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2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2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2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3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3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3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3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9" w:customStyle="1">
    <w:name w:val="Grid Table 4 - Accent 1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1040" w:customStyle="1">
    <w:name w:val="Grid Table 4 - Accent 2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41" w:customStyle="1">
    <w:name w:val="Grid Table 4 - Accent 3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42" w:customStyle="1">
    <w:name w:val="Grid Table 4 - Accent 4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43" w:customStyle="1">
    <w:name w:val="Grid Table 4 - Accent 5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1044" w:customStyle="1">
    <w:name w:val="Grid Table 4 - Accent 61"/>
    <w:basedOn w:val="8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1047" w:customStyle="1">
    <w:name w:val="Grid Table 5 Dark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49" w:customStyle="1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50" w:customStyle="1">
    <w:name w:val="Grid Table 5 Dark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1051" w:customStyle="1">
    <w:name w:val="Grid Table 5 Dark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3" w:customStyle="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054" w:customStyle="1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55" w:customStyle="1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56" w:customStyle="1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57" w:customStyle="1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58" w:customStyle="1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 w:customStyle="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1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2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3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4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1 Light - Accent 5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1 Light - Accent 61"/>
    <w:basedOn w:val="8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078" w:customStyle="1">
    <w:name w:val="List Table 2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1079" w:customStyle="1">
    <w:name w:val="List Table 2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0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3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3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4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4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1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 w:customStyle="1">
    <w:name w:val="List Table 5 Dark - Accent 2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3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 w:customStyle="1">
    <w:name w:val="List Table 5 Dark - Accent 4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9" w:customStyle="1">
    <w:name w:val="List Table 5 Dark - Accent 5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0" w:customStyle="1">
    <w:name w:val="List Table 5 Dark - Accent 6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02" w:customStyle="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103" w:customStyle="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104" w:customStyle="1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105" w:customStyle="1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106" w:customStyle="1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1107" w:customStyle="1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1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Lined - Accent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6" w:customStyle="1">
    <w:name w:val="Lined - Accent 1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117" w:customStyle="1">
    <w:name w:val="Lined - Accent 2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18" w:customStyle="1">
    <w:name w:val="Lined - Accent 3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19" w:customStyle="1">
    <w:name w:val="Lined - Accent 4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20" w:customStyle="1">
    <w:name w:val="Lined - Accent 5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121" w:customStyle="1">
    <w:name w:val="Lined - Accent 6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22" w:customStyle="1">
    <w:name w:val="Bordered &amp; Lined - Accent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3" w:customStyle="1">
    <w:name w:val="Bordered &amp; Lined - Accent 1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124" w:customStyle="1">
    <w:name w:val="Bordered &amp; Lined - Accent 2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25" w:customStyle="1">
    <w:name w:val="Bordered &amp; Lined - Accent 3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26" w:customStyle="1">
    <w:name w:val="Bordered &amp; Lined - Accent 4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27" w:customStyle="1">
    <w:name w:val="Bordered &amp; Lined - Accent 5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128" w:customStyle="1">
    <w:name w:val="Bordered &amp; Lined - Accent 6"/>
    <w:basedOn w:val="8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29" w:customStyle="1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30" w:customStyle="1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131" w:customStyle="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132" w:customStyle="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133" w:customStyle="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134" w:customStyle="1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135" w:customStyle="1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136" w:customStyle="1">
    <w:name w:val="Footnote Text Char"/>
    <w:uiPriority w:val="99"/>
    <w:rPr>
      <w:sz w:val="18"/>
    </w:rPr>
  </w:style>
  <w:style w:type="paragraph" w:styleId="1137">
    <w:name w:val="endnote text"/>
    <w:basedOn w:val="844"/>
    <w:link w:val="1138"/>
    <w:uiPriority w:val="99"/>
    <w:semiHidden/>
    <w:unhideWhenUsed/>
    <w:pPr>
      <w:spacing w:after="0" w:line="240" w:lineRule="auto"/>
    </w:pPr>
    <w:rPr>
      <w:sz w:val="20"/>
    </w:rPr>
  </w:style>
  <w:style w:type="character" w:styleId="1138" w:customStyle="1">
    <w:name w:val="Текст концевой сноски Знак"/>
    <w:link w:val="1137"/>
    <w:uiPriority w:val="99"/>
    <w:rPr>
      <w:sz w:val="20"/>
    </w:rPr>
  </w:style>
  <w:style w:type="character" w:styleId="1139">
    <w:name w:val="endnote reference"/>
    <w:basedOn w:val="854"/>
    <w:uiPriority w:val="99"/>
    <w:semiHidden/>
    <w:unhideWhenUsed/>
    <w:rPr>
      <w:vertAlign w:val="superscript"/>
    </w:rPr>
  </w:style>
  <w:style w:type="paragraph" w:styleId="1140">
    <w:name w:val="toc 1"/>
    <w:basedOn w:val="844"/>
    <w:next w:val="844"/>
    <w:uiPriority w:val="39"/>
    <w:unhideWhenUsed/>
    <w:pPr>
      <w:spacing w:after="57"/>
    </w:pPr>
  </w:style>
  <w:style w:type="paragraph" w:styleId="1141">
    <w:name w:val="toc 2"/>
    <w:basedOn w:val="844"/>
    <w:next w:val="844"/>
    <w:uiPriority w:val="39"/>
    <w:unhideWhenUsed/>
    <w:pPr>
      <w:ind w:left="283"/>
      <w:spacing w:after="57"/>
    </w:pPr>
  </w:style>
  <w:style w:type="paragraph" w:styleId="1142">
    <w:name w:val="toc 3"/>
    <w:basedOn w:val="844"/>
    <w:next w:val="844"/>
    <w:uiPriority w:val="39"/>
    <w:unhideWhenUsed/>
    <w:pPr>
      <w:ind w:left="567"/>
      <w:spacing w:after="57"/>
    </w:pPr>
  </w:style>
  <w:style w:type="paragraph" w:styleId="1143">
    <w:name w:val="toc 4"/>
    <w:basedOn w:val="844"/>
    <w:next w:val="844"/>
    <w:uiPriority w:val="39"/>
    <w:unhideWhenUsed/>
    <w:pPr>
      <w:ind w:left="850"/>
      <w:spacing w:after="57"/>
    </w:pPr>
  </w:style>
  <w:style w:type="paragraph" w:styleId="1144">
    <w:name w:val="toc 5"/>
    <w:basedOn w:val="844"/>
    <w:next w:val="844"/>
    <w:uiPriority w:val="39"/>
    <w:unhideWhenUsed/>
    <w:pPr>
      <w:ind w:left="1134"/>
      <w:spacing w:after="57"/>
    </w:pPr>
  </w:style>
  <w:style w:type="paragraph" w:styleId="1145">
    <w:name w:val="toc 6"/>
    <w:basedOn w:val="844"/>
    <w:next w:val="844"/>
    <w:uiPriority w:val="39"/>
    <w:unhideWhenUsed/>
    <w:pPr>
      <w:ind w:left="1417"/>
      <w:spacing w:after="57"/>
    </w:pPr>
  </w:style>
  <w:style w:type="paragraph" w:styleId="1146">
    <w:name w:val="toc 7"/>
    <w:basedOn w:val="844"/>
    <w:next w:val="844"/>
    <w:uiPriority w:val="39"/>
    <w:unhideWhenUsed/>
    <w:pPr>
      <w:ind w:left="1701"/>
      <w:spacing w:after="57"/>
    </w:pPr>
  </w:style>
  <w:style w:type="paragraph" w:styleId="1147">
    <w:name w:val="toc 8"/>
    <w:basedOn w:val="844"/>
    <w:next w:val="844"/>
    <w:uiPriority w:val="39"/>
    <w:unhideWhenUsed/>
    <w:pPr>
      <w:ind w:left="1984"/>
      <w:spacing w:after="57"/>
    </w:pPr>
  </w:style>
  <w:style w:type="paragraph" w:styleId="1148">
    <w:name w:val="toc 9"/>
    <w:basedOn w:val="844"/>
    <w:next w:val="844"/>
    <w:uiPriority w:val="39"/>
    <w:unhideWhenUsed/>
    <w:pPr>
      <w:ind w:left="2268"/>
      <w:spacing w:after="57"/>
    </w:pPr>
  </w:style>
  <w:style w:type="paragraph" w:styleId="1149">
    <w:name w:val="TOC Heading"/>
    <w:uiPriority w:val="39"/>
    <w:unhideWhenUsed/>
  </w:style>
  <w:style w:type="paragraph" w:styleId="1150">
    <w:name w:val="table of figures"/>
    <w:basedOn w:val="844"/>
    <w:next w:val="844"/>
    <w:uiPriority w:val="99"/>
    <w:unhideWhenUsed/>
    <w:pPr>
      <w:spacing w:after="0"/>
    </w:pPr>
  </w:style>
  <w:style w:type="paragraph" w:styleId="115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152">
    <w:name w:val="Header"/>
    <w:basedOn w:val="844"/>
    <w:link w:val="11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53" w:customStyle="1">
    <w:name w:val="Верхний колонтитул Знак"/>
    <w:basedOn w:val="854"/>
    <w:link w:val="1152"/>
    <w:uiPriority w:val="99"/>
  </w:style>
  <w:style w:type="character" w:styleId="1154">
    <w:name w:val="Hyperlink"/>
    <w:basedOn w:val="854"/>
    <w:uiPriority w:val="99"/>
    <w:unhideWhenUsed/>
    <w:rPr>
      <w:color w:val="0563c1" w:themeColor="hyperlink"/>
      <w:u w:val="single"/>
    </w:rPr>
  </w:style>
  <w:style w:type="paragraph" w:styleId="1155">
    <w:name w:val="footnote text"/>
    <w:basedOn w:val="844"/>
    <w:link w:val="115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56" w:customStyle="1">
    <w:name w:val="Текст сноски Знак"/>
    <w:basedOn w:val="854"/>
    <w:link w:val="1155"/>
    <w:uiPriority w:val="99"/>
    <w:semiHidden/>
    <w:rPr>
      <w:sz w:val="20"/>
      <w:szCs w:val="20"/>
    </w:rPr>
  </w:style>
  <w:style w:type="character" w:styleId="1157">
    <w:name w:val="footnote reference"/>
    <w:basedOn w:val="854"/>
    <w:uiPriority w:val="99"/>
    <w:semiHidden/>
    <w:unhideWhenUsed/>
    <w:rPr>
      <w:vertAlign w:val="superscript"/>
    </w:rPr>
  </w:style>
  <w:style w:type="paragraph" w:styleId="1158">
    <w:name w:val="List Paragraph"/>
    <w:basedOn w:val="844"/>
    <w:uiPriority w:val="34"/>
    <w:qFormat/>
    <w:pPr>
      <w:contextualSpacing/>
      <w:ind w:left="720"/>
    </w:pPr>
  </w:style>
  <w:style w:type="table" w:styleId="1159">
    <w:name w:val="Table Grid"/>
    <w:basedOn w:val="855"/>
    <w:uiPriority w:val="59"/>
    <w:unhideWhenUsed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60" w:customStyle="1">
    <w:name w:val="Standard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Sans" w:hAnsi="PT Sans" w:eastAsia="Tahoma" w:cs="Noto Sans Devanagari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https://mumcfm.ru/partners" TargetMode="External"/><Relationship Id="rId14" Type="http://schemas.openxmlformats.org/officeDocument/2006/relationships/hyperlink" Target="https://mumcfm.ru/partner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13</cp:revision>
  <dcterms:created xsi:type="dcterms:W3CDTF">2022-10-24T10:50:00Z</dcterms:created>
  <dcterms:modified xsi:type="dcterms:W3CDTF">2022-11-14T06:53:25Z</dcterms:modified>
</cp:coreProperties>
</file>