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1"/>
        <w:tblW w:w="1512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0"/>
      </w:tblGrid>
      <w:tr w:rsidR="00805C47">
        <w:trPr>
          <w:trHeight w:val="2539"/>
        </w:trPr>
        <w:tc>
          <w:tcPr>
            <w:tcW w:w="151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11"/>
              <w:tblW w:w="15118" w:type="dxa"/>
              <w:tblBorders>
                <w:left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797"/>
              <w:gridCol w:w="2337"/>
              <w:gridCol w:w="2342"/>
              <w:gridCol w:w="6662"/>
            </w:tblGrid>
            <w:tr w:rsidR="00281B05" w:rsidRPr="008322F4" w:rsidTr="00981001">
              <w:tc>
                <w:tcPr>
                  <w:tcW w:w="1511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D145B" w:rsidRPr="00281B05" w:rsidRDefault="007637D0" w:rsidP="009D145B">
                  <w:pPr>
                    <w:spacing w:after="0" w:line="240" w:lineRule="auto"/>
                    <w:jc w:val="center"/>
                    <w:rPr>
                      <w:sz w:val="24"/>
                      <w:highlight w:val="yellow"/>
                    </w:rPr>
                  </w:pPr>
                  <w:bookmarkStart w:id="0" w:name="_GoBack" w:colFirst="0" w:colLast="0"/>
                  <w:r w:rsidRPr="008846CE">
                    <w:rPr>
                      <w:sz w:val="28"/>
                      <w:szCs w:val="28"/>
                    </w:rPr>
                    <w:t>Отдел государственной службы, правового обеспечения и бюджетного учета</w:t>
                  </w:r>
                  <w:r w:rsidRPr="008846CE">
                    <w:rPr>
                      <w:sz w:val="24"/>
                    </w:rPr>
                    <w:t xml:space="preserve"> </w:t>
                  </w:r>
                </w:p>
              </w:tc>
            </w:tr>
            <w:bookmarkEnd w:id="0"/>
            <w:tr w:rsidR="00281B05" w:rsidRPr="008322F4" w:rsidTr="001E3615"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81B05" w:rsidRPr="008322F4" w:rsidRDefault="00281B05" w:rsidP="00281B05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8322F4">
                    <w:rPr>
                      <w:sz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81B05" w:rsidRPr="00281B05" w:rsidRDefault="00281B05" w:rsidP="00281B05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281B05">
                    <w:rPr>
                      <w:sz w:val="24"/>
                    </w:rPr>
                    <w:t>Наименование должностей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81B05" w:rsidRPr="00281B05" w:rsidRDefault="00281B05" w:rsidP="00281B05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281B05">
                    <w:rPr>
                      <w:sz w:val="24"/>
                    </w:rPr>
                    <w:t>Квалификационные требования к образованию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81B05" w:rsidRPr="00281B05" w:rsidRDefault="00281B05" w:rsidP="00281B05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281B05">
                    <w:rPr>
                      <w:sz w:val="24"/>
                    </w:rPr>
                    <w:t>Квалификационные требования к стажу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81B05" w:rsidRPr="00281B05" w:rsidRDefault="00281B05" w:rsidP="00281B05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281B05">
                    <w:rPr>
                      <w:sz w:val="24"/>
                    </w:rPr>
                    <w:t>Должностные обязанности</w:t>
                  </w:r>
                </w:p>
              </w:tc>
            </w:tr>
            <w:tr w:rsidR="00EA168C" w:rsidRPr="0033494E" w:rsidTr="00157447">
              <w:tc>
                <w:tcPr>
                  <w:tcW w:w="19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A168C" w:rsidRPr="0033494E" w:rsidRDefault="00EA168C" w:rsidP="00281B05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A56304">
                    <w:rPr>
                      <w:snapToGrid w:val="0"/>
                      <w:sz w:val="24"/>
                      <w:szCs w:val="24"/>
                    </w:rPr>
                    <w:t>Отдел государственной службы, правового обеспечения и бюджетного учета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A168C" w:rsidRPr="0033494E" w:rsidRDefault="00EA168C" w:rsidP="00281B05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Главный специалист- эксперт</w:t>
                  </w: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A168C" w:rsidRPr="00281B05" w:rsidRDefault="00EA168C" w:rsidP="00281B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Наличие высшего образования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A168C" w:rsidRPr="00281B05" w:rsidRDefault="00EA168C" w:rsidP="00281B05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  <w:highlight w:val="yellow"/>
                    </w:rPr>
                  </w:pPr>
                  <w:r w:rsidRPr="00281B05">
                    <w:rPr>
                      <w:sz w:val="24"/>
                      <w:szCs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66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1) анализ правовых актов Управления в сфере информационных технологий и защиты информации, в целях контроля за эффективностью их реализации и приведения их в соответствие законодательству Российской Федерации;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2) подготовка проектов приказов Управления, связанных с организацией и проведением мероприятий по вопросам в сфере информационных технологий и защиты информации;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3) планирование работы по защите информации на объектах защиты, контроль выполнения запланированных мероприятий, подготовка ежегодных отчетов и представление их Руководителю о мероприятиях по защите информации;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4) определение технических каналов утечки информации с возможностью несанкционированного доступа к информационным ресурсам и процессам и воздействия на них с целью разрушения (уничтожения) или искажения;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5) подготовка предложений по категорированию объектов информатизации и технических средств, обрабатывающих конфиденциальную информацию, классификация автоматизированных систем объектов защиты по уровню их защиты от несанкционированного доступа к информационным ресурсам и процессам;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6) разработка предложений по организационно-техническим мероприятиям защиты информации на объектах защиты;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7) организация аттестации объектов информатизации по выполнению требований обеспечения защиты информации;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8) организация и проведение периодического контроля эффективности проводимых мероприятий и принимаемых мер по защите информации на объектах защиты, ведение учета и анализ результатов контроля;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9) разработка руководства по защите информации объектов защиты и других руководящих и методических документов по информационной безопасности;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 xml:space="preserve">10) администрирование информационной безопасности информационных систем персональных данных управления, общее техническое сопровождение информационных систем </w:t>
                  </w:r>
                  <w:r w:rsidRPr="00703103">
                    <w:rPr>
                      <w:rFonts w:eastAsiaTheme="minorEastAsia"/>
                    </w:rPr>
                    <w:lastRenderedPageBreak/>
                    <w:t>персональных данных, выполнение работ по обеспечению комплексной защиты информации на основе разработанных программ и методик, выполнение работ по обслуживанию и контролю технического состояния систем и средств защиты информации, анализу защищенности информационной системы организации, разработка мер по обеспечению защиты информации и эффективному использованию средств контроля, обнаружению угроз конфиденциальности, целостности и доступности защищаемых информационных ресурсов;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11) проведение мероприятий, направленных на обеспечение конфиденциальности персональных данных и выполнение требований безопасности при их обработке в Управлении;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12) принятие меры по выявлению и устранению причин и условий, способствующих возникновению инцидентов информационной безопасности, а также координация процессов их разрешения и подготовка доклада об их решении;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13) управление правами доступа к информационным системам;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14) анализ существующих методов и средств, применяемых для контроля и защиты информации, разработка предложений по их совершенствованию и повышению эффективности защиты информации; 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15) разработка, поддержка в актуальном состоянии и контроль исполнения регламентов и процедур предоставления доступа к информационным системам и внесение изменений в методические документы по защите информации;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16) подготовка предложений по совершенствованию системы защиты информации в структурных подразделениях Управления;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17) представление информации Руководителю о текущем состоянии информационной безопасности;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 xml:space="preserve">18) разработка методических материалов и инструкций по использованию автоматизированных информационных систем в </w:t>
                  </w:r>
                  <w:r>
                    <w:rPr>
                      <w:rFonts w:eastAsiaTheme="minorEastAsia"/>
                    </w:rPr>
                    <w:t>У</w:t>
                  </w:r>
                  <w:r w:rsidRPr="00703103">
                    <w:rPr>
                      <w:rFonts w:eastAsiaTheme="minorEastAsia"/>
                    </w:rPr>
                    <w:t>правлении;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19) проверка соблюдения правил эксплуатации информационных систем в Управлении, своевременное информирование Руководителя о нарушениях и недостатках;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lastRenderedPageBreak/>
                    <w:t>20) обеспечение функционирования сетевого оборудования, бесперебойная работа и администрирование локальных сетей, серверов, сетевых устройств Управления;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21) проверка, конфигурирование, эксплуатация, предоставление доступа, учет ресурсов, ведение документации и контроль запасного имущества и принадлежностей оборудования локальной сети;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22) регистрация пользователей локальной сети и почтового сервера, назначение идентификаторов и паролей пользователей;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23) планирование и проведение плановых ремонтно-настроечных работ на оборудовании локальной сети;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24) разработка инструкций по эксплуатации локальной сети;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25) подготовка предложений по повышению надежности функционирования оборудования локальной сети;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26) организация работы по обеспечению информационной безопасности информационных систем и информационно-телекоммуникационной инфраструктуры путем регулярного мониторинга сетевой активности пользователей управления, а также организация и проведение мероприятий по устранению нештатных ситуаций или чрезвычайных происшествий, возникающих в области защиты информации;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27) обеспечение функционального администрирования системы электронного документооборота в Управлении в пределах компетенции;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28) обеспечение работы электронной почтовой системы и каталога пользователей;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29) техническое обеспечение функционирования телекоммуникационного оборудования и каналов связи, необходимых для деятельности Управления;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 xml:space="preserve">30) проведение мероприятий, гарантирующих антивирусную защиту локальной сети, серверов и рабочих станций; 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31) организация и проведение работы по распространению, техническому обслуживанию шифровальных (криптографических) средств;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32) организация в управлении своевременного копирования, архивирования данных;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33) создание и поддержание в актуальном состоянии пользовательских учетных записей;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lastRenderedPageBreak/>
                    <w:t>34) осуществление технической и программной поддержки пользователей, консультирование пользователей по вопросам работы в локальной сети и программах общего назначения;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35) настройка компьютерного оборудования и передача его в эксплуатацию пользователям управления;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36) организация ремонта средств вычислительной техники с привлечением специализированных организаций;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37) организация и выполнение сервисных и профилактических работ на информационных системах, используемых управлении;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38) сервисное, техническое обслуживание и ремонт вычислительной, офисной техники и средств связи, необходимых для деятельности управления;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39) обеспечивает функционирование в Управлении автоматизированных рабочих мест согласно утвержденным планам и заявкам;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40) выполнение работ по выявлению неустановленных, неиспользуемых средств вычислительной техники для организации автоматизированных рабочих мест в Управлении, проведение анализа возможности их использования в производственном процессе;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41) техническое обеспечение и обслуживание совещаний, конференций, видеоконференций и других мероприятий, проводимых в управлении;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42) обеспечение функционирования оборудования видео-, аудио-конференц-связи;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43) установка и настройка системного программного обеспечения для средств вычислительной техники, необходимое для деятельности Управления;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44) управление конфигурациями прикладного программного обеспечения сопровождаемых сервисов;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45) организация работы, связанной с приобретением средств вычислительной и офисной техники, программного обеспечения, комплектующих и расходных материалов;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 xml:space="preserve">46) обеспечение подготовки договоров со сторонними организациями, технических заданий на приобретение товаров, работ, услуг для функционирования автоматизированных рабочих мест и информационных систем Управления (по закрепленным направлениям деятельности), </w:t>
                  </w:r>
                  <w:r w:rsidRPr="00703103">
                    <w:rPr>
                      <w:rFonts w:eastAsiaTheme="minorEastAsia"/>
                    </w:rPr>
                    <w:lastRenderedPageBreak/>
                    <w:t>приемка товаров, работ, услуг, получение счетов, накладных и иных документов (в связи с исполнением договоров, государственных контрактов) в пределах средств, предусмотренных сметой расходов управления на данные цели;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47) взаимодействие с организациями по вопросам сопровождения прикладного программного обеспечения в рамках заключенных договоров;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48) контроль исполнения обязательств по договорам на сопровождение информационных сервисов;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49) планирование распределения средств вычислительной и офисной техники, осуществление контроля внедрение средств вычислительной техники в Управлении;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50) выявление потребности в оснащении Управления компьютерной техникой и формирование предложений по модернизации, приобретению сетевого оборудования, обновлению программного обеспечения до уровня развития современных информационных технологий, включая приобретение лицензионных программных продуктов;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 xml:space="preserve">51) осуществление в установленном порядке анализа полученных от граждан, претендующих на замещение должности государственной гражданской в Управлении, и государственных гражданских служащих </w:t>
                  </w:r>
                  <w:r>
                    <w:rPr>
                      <w:rFonts w:eastAsiaTheme="minorEastAsia"/>
                    </w:rPr>
                    <w:t>У</w:t>
                  </w:r>
                  <w:r w:rsidRPr="00703103">
                    <w:rPr>
                      <w:rFonts w:eastAsiaTheme="minorEastAsia"/>
                    </w:rPr>
                    <w:t>правления сведений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идентифицировать, в случаях, предусмотренных законодательством Российской Федерации;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 xml:space="preserve">52) подготовка отчетов Управления по вопросам, входящим в компетенцию государственного гражданского служащего; 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 xml:space="preserve">53) добросовестное исполнение обязанностей, предусмотренных должностным регламентом; 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54) соблюдение служебного распорядка при выполнении должностных обязанностей и полномочий;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55) соблюдение установленных законом ограничений и запретов для государственных гражданских служащих;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56) поддержание уровня своей квалификации, необходимого для исполнения обязанностей, установленных должностным регламентом;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lastRenderedPageBreak/>
                    <w:t>57) хранение государственной и иной охраняемой законом тайны;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58) участие в проведении мероприятий по Гражданской обороне;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>59) выполнение требований Федерального закона от 25 декабря 2008 года № 273-ФЗ «О противодействии коррупции»;</w:t>
                  </w:r>
                </w:p>
                <w:p w:rsidR="00EA168C" w:rsidRPr="00703103" w:rsidRDefault="00EA168C" w:rsidP="00703103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  <w:r w:rsidRPr="00703103">
                    <w:rPr>
                      <w:rFonts w:eastAsiaTheme="minorEastAsia"/>
                    </w:rPr>
                    <w:t xml:space="preserve">60) уведомление в обязательном порядке представителя нанимателя </w:t>
                  </w:r>
                  <w:r>
                    <w:rPr>
                      <w:rFonts w:eastAsiaTheme="minorEastAsia"/>
                    </w:rPr>
                    <w:t xml:space="preserve"> </w:t>
                  </w:r>
                  <w:r w:rsidRPr="00703103">
                    <w:rPr>
                      <w:rFonts w:eastAsiaTheme="minorEastAsia"/>
                    </w:rPr>
                    <w:t>об обращениях в целях склонения его к совершению коррупционных правонарушений;</w:t>
                  </w:r>
                </w:p>
                <w:p w:rsidR="00EA168C" w:rsidRPr="00B13481" w:rsidRDefault="00EA168C" w:rsidP="005572DE">
                  <w:pPr>
                    <w:pStyle w:val="ConsPlusNormal"/>
                    <w:spacing w:line="216" w:lineRule="auto"/>
                    <w:rPr>
                      <w:snapToGrid w:val="0"/>
                    </w:rPr>
                  </w:pPr>
                  <w:r w:rsidRPr="00703103">
                    <w:rPr>
                      <w:rFonts w:eastAsiaTheme="minorEastAsia"/>
                    </w:rPr>
                    <w:t xml:space="preserve">61) сообщение представителю нанимателя о личной заинтересованности при исполнении должностных обязанностей, которая может привести к конфликту интересов, принимает меры по </w:t>
                  </w:r>
                  <w:r>
                    <w:rPr>
                      <w:rFonts w:eastAsiaTheme="minorEastAsia"/>
                    </w:rPr>
                    <w:t>предотвращению такого конфликта.</w:t>
                  </w:r>
                </w:p>
              </w:tc>
            </w:tr>
            <w:tr w:rsidR="00EA168C" w:rsidRPr="008322F4" w:rsidTr="00297974">
              <w:tc>
                <w:tcPr>
                  <w:tcW w:w="198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A168C" w:rsidRPr="00281B05" w:rsidRDefault="00EA168C" w:rsidP="00281B05">
                  <w:pPr>
                    <w:spacing w:after="0" w:line="240" w:lineRule="auto"/>
                    <w:contextualSpacing/>
                    <w:rPr>
                      <w:sz w:val="24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A168C" w:rsidRDefault="00EA168C" w:rsidP="00281B05">
                  <w:pPr>
                    <w:spacing w:after="0" w:line="240" w:lineRule="auto"/>
                    <w:contextualSpacing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A168C" w:rsidRPr="009C64ED" w:rsidRDefault="00EA168C" w:rsidP="00281B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A168C" w:rsidRPr="00281B05" w:rsidRDefault="00EA168C" w:rsidP="00281B05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A168C" w:rsidRPr="008846CE" w:rsidRDefault="00EA168C" w:rsidP="009D145B">
                  <w:pPr>
                    <w:pStyle w:val="ConsPlusNormal"/>
                    <w:spacing w:line="216" w:lineRule="auto"/>
                    <w:rPr>
                      <w:rFonts w:eastAsiaTheme="minorEastAsia"/>
                    </w:rPr>
                  </w:pPr>
                </w:p>
              </w:tc>
            </w:tr>
          </w:tbl>
          <w:p w:rsidR="00281B05" w:rsidRDefault="00281B05" w:rsidP="00B210DE"/>
          <w:p w:rsidR="00805C47" w:rsidRDefault="00805C47" w:rsidP="008846CE">
            <w:pPr>
              <w:outlineLvl w:val="0"/>
              <w:rPr>
                <w:color w:val="000000"/>
                <w:sz w:val="18"/>
              </w:rPr>
            </w:pPr>
          </w:p>
        </w:tc>
      </w:tr>
    </w:tbl>
    <w:p w:rsidR="00805C47" w:rsidRDefault="00805C47" w:rsidP="00EA168C">
      <w:pPr>
        <w:spacing w:after="0" w:line="240" w:lineRule="auto"/>
        <w:rPr>
          <w:sz w:val="28"/>
        </w:rPr>
      </w:pPr>
    </w:p>
    <w:sectPr w:rsidR="00805C47" w:rsidSect="00D433BB">
      <w:headerReference w:type="default" r:id="rId8"/>
      <w:pgSz w:w="16838" w:h="11906" w:orient="landscape"/>
      <w:pgMar w:top="709" w:right="576" w:bottom="993" w:left="1152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C0" w:rsidRDefault="00145DC0">
      <w:pPr>
        <w:spacing w:after="0" w:line="240" w:lineRule="auto"/>
      </w:pPr>
      <w:r>
        <w:separator/>
      </w:r>
    </w:p>
  </w:endnote>
  <w:endnote w:type="continuationSeparator" w:id="0">
    <w:p w:rsidR="00145DC0" w:rsidRDefault="0014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C0" w:rsidRDefault="00145DC0">
      <w:pPr>
        <w:spacing w:after="0" w:line="240" w:lineRule="auto"/>
      </w:pPr>
      <w:r>
        <w:separator/>
      </w:r>
    </w:p>
  </w:footnote>
  <w:footnote w:type="continuationSeparator" w:id="0">
    <w:p w:rsidR="00145DC0" w:rsidRDefault="00145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880" w:rsidRDefault="00A06880" w:rsidP="00AC5E9C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 w:rsidR="00B97A8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043"/>
    <w:multiLevelType w:val="hybridMultilevel"/>
    <w:tmpl w:val="1F4CEA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12E"/>
    <w:multiLevelType w:val="hybridMultilevel"/>
    <w:tmpl w:val="293EA8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6B74AE3"/>
    <w:multiLevelType w:val="multilevel"/>
    <w:tmpl w:val="3842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34A86"/>
    <w:multiLevelType w:val="multilevel"/>
    <w:tmpl w:val="9DC4D600"/>
    <w:numStyleLink w:val="Yu"/>
  </w:abstractNum>
  <w:abstractNum w:abstractNumId="4" w15:restartNumberingAfterBreak="0">
    <w:nsid w:val="76EF72A8"/>
    <w:multiLevelType w:val="multilevel"/>
    <w:tmpl w:val="9DC4D600"/>
    <w:styleLink w:val="Yu"/>
    <w:lvl w:ilvl="0">
      <w:start w:val="1"/>
      <w:numFmt w:val="upperRoman"/>
      <w:pStyle w:val="Yu1"/>
      <w:suff w:val="nothing"/>
      <w:lvlText w:val="%1. "/>
      <w:lvlJc w:val="left"/>
      <w:pPr>
        <w:ind w:left="993" w:firstLine="709"/>
      </w:pPr>
      <w:rPr>
        <w:rFonts w:hint="default"/>
      </w:rPr>
    </w:lvl>
    <w:lvl w:ilvl="1">
      <w:start w:val="1"/>
      <w:numFmt w:val="decimal"/>
      <w:lvlRestart w:val="0"/>
      <w:pStyle w:val="Yu2"/>
      <w:suff w:val="nothing"/>
      <w:lvlText w:val="%2. 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Yu3"/>
      <w:suff w:val="nothing"/>
      <w:lvlText w:val="%2.%3. "/>
      <w:lvlJc w:val="left"/>
      <w:pPr>
        <w:ind w:left="1" w:firstLine="709"/>
      </w:pPr>
      <w:rPr>
        <w:rFonts w:hint="default"/>
      </w:rPr>
    </w:lvl>
    <w:lvl w:ilvl="3">
      <w:start w:val="1"/>
      <w:numFmt w:val="decimal"/>
      <w:pStyle w:val="Yu4"/>
      <w:suff w:val="nothing"/>
      <w:lvlText w:val="%2.%3.%4. "/>
      <w:lvlJc w:val="left"/>
      <w:pPr>
        <w:ind w:left="0" w:firstLine="709"/>
      </w:pPr>
      <w:rPr>
        <w:rFonts w:hint="default"/>
      </w:rPr>
    </w:lvl>
    <w:lvl w:ilvl="4">
      <w:start w:val="1"/>
      <w:numFmt w:val="none"/>
      <w:pStyle w:val="Yu5"/>
      <w:suff w:val="nothing"/>
      <w:lvlText w:val="– "/>
      <w:lvlJc w:val="left"/>
      <w:pPr>
        <w:ind w:left="0" w:firstLine="709"/>
      </w:pPr>
      <w:rPr>
        <w:rFonts w:hint="default"/>
      </w:rPr>
    </w:lvl>
    <w:lvl w:ilvl="5">
      <w:start w:val="1"/>
      <w:numFmt w:val="russianLower"/>
      <w:pStyle w:val="Yu6"/>
      <w:suff w:val="nothing"/>
      <w:lvlText w:val="%6) 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Yu7"/>
      <w:suff w:val="nothing"/>
      <w:lvlText w:val="%7) 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lvl w:ilvl="0">
        <w:start w:val="1"/>
        <w:numFmt w:val="upperRoman"/>
        <w:pStyle w:val="Yu1"/>
        <w:suff w:val="nothing"/>
        <w:lvlText w:val="%1. "/>
        <w:lvlJc w:val="left"/>
        <w:pPr>
          <w:ind w:left="993" w:firstLine="709"/>
        </w:pPr>
        <w:rPr>
          <w:rFonts w:hint="default"/>
          <w:color w:val="auto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47"/>
    <w:rsid w:val="000468C9"/>
    <w:rsid w:val="00054292"/>
    <w:rsid w:val="00093503"/>
    <w:rsid w:val="000A0EC3"/>
    <w:rsid w:val="000A1655"/>
    <w:rsid w:val="000B46C8"/>
    <w:rsid w:val="00121785"/>
    <w:rsid w:val="00122601"/>
    <w:rsid w:val="00123977"/>
    <w:rsid w:val="00145DC0"/>
    <w:rsid w:val="00157447"/>
    <w:rsid w:val="00163DB3"/>
    <w:rsid w:val="001A1BCC"/>
    <w:rsid w:val="001A4291"/>
    <w:rsid w:val="001E3615"/>
    <w:rsid w:val="001E4105"/>
    <w:rsid w:val="002019CB"/>
    <w:rsid w:val="002551A6"/>
    <w:rsid w:val="00274A12"/>
    <w:rsid w:val="00277272"/>
    <w:rsid w:val="00281B05"/>
    <w:rsid w:val="00287593"/>
    <w:rsid w:val="00290F1A"/>
    <w:rsid w:val="002C43CE"/>
    <w:rsid w:val="002E7C11"/>
    <w:rsid w:val="00333BD1"/>
    <w:rsid w:val="0033494E"/>
    <w:rsid w:val="0033763C"/>
    <w:rsid w:val="00341ED8"/>
    <w:rsid w:val="00356C4A"/>
    <w:rsid w:val="00394B98"/>
    <w:rsid w:val="003A0193"/>
    <w:rsid w:val="003B69F3"/>
    <w:rsid w:val="003D09C8"/>
    <w:rsid w:val="003D51CC"/>
    <w:rsid w:val="003F4304"/>
    <w:rsid w:val="003F4F42"/>
    <w:rsid w:val="004427EA"/>
    <w:rsid w:val="004501BC"/>
    <w:rsid w:val="00454C74"/>
    <w:rsid w:val="00454D7A"/>
    <w:rsid w:val="004572B1"/>
    <w:rsid w:val="00493DDB"/>
    <w:rsid w:val="004C647E"/>
    <w:rsid w:val="004D49E0"/>
    <w:rsid w:val="00507325"/>
    <w:rsid w:val="00510855"/>
    <w:rsid w:val="00526B27"/>
    <w:rsid w:val="00527FAE"/>
    <w:rsid w:val="00551078"/>
    <w:rsid w:val="005572DE"/>
    <w:rsid w:val="00593412"/>
    <w:rsid w:val="005A6A84"/>
    <w:rsid w:val="005B47DA"/>
    <w:rsid w:val="005B6CE5"/>
    <w:rsid w:val="005E34F5"/>
    <w:rsid w:val="005E62A5"/>
    <w:rsid w:val="00602465"/>
    <w:rsid w:val="00605395"/>
    <w:rsid w:val="006179A9"/>
    <w:rsid w:val="00636033"/>
    <w:rsid w:val="00667768"/>
    <w:rsid w:val="00690F55"/>
    <w:rsid w:val="006F38A0"/>
    <w:rsid w:val="00703103"/>
    <w:rsid w:val="00752974"/>
    <w:rsid w:val="007637D0"/>
    <w:rsid w:val="007712BF"/>
    <w:rsid w:val="00794B4B"/>
    <w:rsid w:val="00805C47"/>
    <w:rsid w:val="00816F97"/>
    <w:rsid w:val="008247ED"/>
    <w:rsid w:val="008322F4"/>
    <w:rsid w:val="00836B54"/>
    <w:rsid w:val="0084161C"/>
    <w:rsid w:val="008609E5"/>
    <w:rsid w:val="008846CE"/>
    <w:rsid w:val="008F4501"/>
    <w:rsid w:val="008F466F"/>
    <w:rsid w:val="008F64BE"/>
    <w:rsid w:val="00900877"/>
    <w:rsid w:val="00921C75"/>
    <w:rsid w:val="00955A18"/>
    <w:rsid w:val="00961042"/>
    <w:rsid w:val="009721D0"/>
    <w:rsid w:val="00972913"/>
    <w:rsid w:val="00981001"/>
    <w:rsid w:val="009C64ED"/>
    <w:rsid w:val="009D145B"/>
    <w:rsid w:val="009E41E0"/>
    <w:rsid w:val="009E5EB7"/>
    <w:rsid w:val="009F2D07"/>
    <w:rsid w:val="00A06880"/>
    <w:rsid w:val="00A32562"/>
    <w:rsid w:val="00A56304"/>
    <w:rsid w:val="00A67150"/>
    <w:rsid w:val="00AA0961"/>
    <w:rsid w:val="00AC5E9C"/>
    <w:rsid w:val="00AD182C"/>
    <w:rsid w:val="00AD4FB2"/>
    <w:rsid w:val="00AE75A5"/>
    <w:rsid w:val="00AF73DA"/>
    <w:rsid w:val="00B028F4"/>
    <w:rsid w:val="00B15409"/>
    <w:rsid w:val="00B210DE"/>
    <w:rsid w:val="00B322DA"/>
    <w:rsid w:val="00B4070A"/>
    <w:rsid w:val="00B5179D"/>
    <w:rsid w:val="00B57D20"/>
    <w:rsid w:val="00B65DBE"/>
    <w:rsid w:val="00B96C38"/>
    <w:rsid w:val="00B97A8E"/>
    <w:rsid w:val="00BB17FE"/>
    <w:rsid w:val="00BC0B63"/>
    <w:rsid w:val="00C00204"/>
    <w:rsid w:val="00C11FFA"/>
    <w:rsid w:val="00C174D9"/>
    <w:rsid w:val="00C46538"/>
    <w:rsid w:val="00C56426"/>
    <w:rsid w:val="00C66CB3"/>
    <w:rsid w:val="00C77068"/>
    <w:rsid w:val="00CC26E6"/>
    <w:rsid w:val="00CE308A"/>
    <w:rsid w:val="00D06FD3"/>
    <w:rsid w:val="00D203B1"/>
    <w:rsid w:val="00D27743"/>
    <w:rsid w:val="00D35C3C"/>
    <w:rsid w:val="00D42B47"/>
    <w:rsid w:val="00D433BB"/>
    <w:rsid w:val="00D5584A"/>
    <w:rsid w:val="00D576E7"/>
    <w:rsid w:val="00D835FC"/>
    <w:rsid w:val="00DB4AD0"/>
    <w:rsid w:val="00DB56D3"/>
    <w:rsid w:val="00DB64EF"/>
    <w:rsid w:val="00DC78A5"/>
    <w:rsid w:val="00E43D25"/>
    <w:rsid w:val="00E50BAB"/>
    <w:rsid w:val="00E81478"/>
    <w:rsid w:val="00EA168C"/>
    <w:rsid w:val="00EB5BA3"/>
    <w:rsid w:val="00EC368C"/>
    <w:rsid w:val="00ED4AFD"/>
    <w:rsid w:val="00F14391"/>
    <w:rsid w:val="00F303E6"/>
    <w:rsid w:val="00F654CB"/>
    <w:rsid w:val="00F80094"/>
    <w:rsid w:val="00F841F7"/>
    <w:rsid w:val="00F8581B"/>
    <w:rsid w:val="00FA51B8"/>
    <w:rsid w:val="00FA6C64"/>
    <w:rsid w:val="00FC5B44"/>
    <w:rsid w:val="00FE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C822A-FE58-471B-B37A-75D54660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6304"/>
  </w:style>
  <w:style w:type="paragraph" w:styleId="1">
    <w:name w:val="heading 1"/>
    <w:basedOn w:val="a"/>
    <w:next w:val="a"/>
    <w:link w:val="10"/>
    <w:uiPriority w:val="9"/>
    <w:qFormat/>
    <w:rsid w:val="00794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4B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pPr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uiPriority w:val="99"/>
    <w:rPr>
      <w:color w:val="0000FF"/>
      <w:u w:val="single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7">
    <w:name w:val="Title"/>
    <w:basedOn w:val="a"/>
    <w:next w:val="a"/>
    <w:link w:val="a8"/>
    <w:uiPriority w:val="10"/>
    <w:qFormat/>
    <w:rsid w:val="00794B4B"/>
    <w:pPr>
      <w:spacing w:after="0" w:line="240" w:lineRule="auto"/>
      <w:jc w:val="center"/>
    </w:pPr>
    <w:rPr>
      <w:b/>
      <w:color w:val="auto"/>
      <w:sz w:val="28"/>
    </w:rPr>
  </w:style>
  <w:style w:type="character" w:customStyle="1" w:styleId="a8">
    <w:name w:val="Заголовок Знак"/>
    <w:basedOn w:val="a0"/>
    <w:link w:val="a7"/>
    <w:uiPriority w:val="10"/>
    <w:rsid w:val="00794B4B"/>
    <w:rPr>
      <w:b/>
      <w:color w:val="auto"/>
      <w:sz w:val="28"/>
    </w:rPr>
  </w:style>
  <w:style w:type="character" w:customStyle="1" w:styleId="10">
    <w:name w:val="Заголовок 1 Знак"/>
    <w:basedOn w:val="a0"/>
    <w:link w:val="1"/>
    <w:uiPriority w:val="9"/>
    <w:rsid w:val="00794B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94B4B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94B4B"/>
    <w:pPr>
      <w:spacing w:after="100"/>
    </w:pPr>
  </w:style>
  <w:style w:type="paragraph" w:styleId="aa">
    <w:name w:val="Body Text Indent"/>
    <w:basedOn w:val="a"/>
    <w:link w:val="ab"/>
    <w:uiPriority w:val="99"/>
    <w:unhideWhenUsed/>
    <w:rsid w:val="00794B4B"/>
    <w:pPr>
      <w:spacing w:after="0" w:line="240" w:lineRule="auto"/>
      <w:ind w:firstLine="720"/>
      <w:jc w:val="both"/>
    </w:pPr>
    <w:rPr>
      <w:color w:val="auto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794B4B"/>
    <w:rPr>
      <w:color w:val="auto"/>
      <w:sz w:val="28"/>
    </w:rPr>
  </w:style>
  <w:style w:type="paragraph" w:styleId="21">
    <w:name w:val="toc 2"/>
    <w:basedOn w:val="a"/>
    <w:next w:val="a"/>
    <w:autoRedefine/>
    <w:uiPriority w:val="39"/>
    <w:unhideWhenUsed/>
    <w:rsid w:val="00794B4B"/>
    <w:pPr>
      <w:spacing w:after="100" w:line="259" w:lineRule="auto"/>
      <w:ind w:left="220"/>
    </w:pPr>
    <w:rPr>
      <w:rFonts w:asciiTheme="minorHAnsi" w:eastAsiaTheme="minorEastAsia" w:hAnsiTheme="minorHAnsi"/>
      <w:color w:val="auto"/>
      <w:szCs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794B4B"/>
    <w:pPr>
      <w:spacing w:after="100" w:line="259" w:lineRule="auto"/>
      <w:ind w:left="440"/>
    </w:pPr>
    <w:rPr>
      <w:rFonts w:asciiTheme="minorHAnsi" w:eastAsiaTheme="minorEastAsia" w:hAnsiTheme="minorHAnsi"/>
      <w:color w:val="auto"/>
      <w:szCs w:val="22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794B4B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94B4B"/>
    <w:rPr>
      <w:sz w:val="20"/>
    </w:rPr>
  </w:style>
  <w:style w:type="character" w:styleId="ae">
    <w:name w:val="endnote reference"/>
    <w:basedOn w:val="a0"/>
    <w:uiPriority w:val="99"/>
    <w:semiHidden/>
    <w:unhideWhenUsed/>
    <w:rsid w:val="00794B4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94B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Body Text"/>
    <w:basedOn w:val="a"/>
    <w:link w:val="af0"/>
    <w:uiPriority w:val="99"/>
    <w:unhideWhenUsed/>
    <w:rsid w:val="00F1439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14391"/>
  </w:style>
  <w:style w:type="paragraph" w:customStyle="1" w:styleId="Yu1">
    <w:name w:val="_Yu__уров_1"/>
    <w:basedOn w:val="a"/>
    <w:qFormat/>
    <w:rsid w:val="00E43D25"/>
    <w:pPr>
      <w:numPr>
        <w:numId w:val="4"/>
      </w:numPr>
      <w:spacing w:before="360" w:line="240" w:lineRule="auto"/>
      <w:ind w:left="0" w:firstLine="0"/>
      <w:jc w:val="center"/>
      <w:outlineLvl w:val="0"/>
    </w:pPr>
    <w:rPr>
      <w:rFonts w:ascii="Calibri" w:eastAsia="Calibri" w:hAnsi="Calibri"/>
      <w:b/>
      <w:color w:val="C00000"/>
      <w:sz w:val="28"/>
      <w:szCs w:val="28"/>
    </w:rPr>
  </w:style>
  <w:style w:type="paragraph" w:customStyle="1" w:styleId="Yu2">
    <w:name w:val="_Yu__уров_2"/>
    <w:basedOn w:val="a"/>
    <w:rsid w:val="00E43D25"/>
    <w:pPr>
      <w:numPr>
        <w:ilvl w:val="1"/>
        <w:numId w:val="4"/>
      </w:numPr>
      <w:spacing w:before="120" w:after="120" w:line="240" w:lineRule="auto"/>
      <w:jc w:val="both"/>
      <w:outlineLvl w:val="1"/>
    </w:pPr>
    <w:rPr>
      <w:rFonts w:ascii="Calibri" w:eastAsia="Calibri" w:hAnsi="Calibri"/>
      <w:color w:val="auto"/>
      <w:sz w:val="28"/>
      <w:szCs w:val="28"/>
    </w:rPr>
  </w:style>
  <w:style w:type="paragraph" w:customStyle="1" w:styleId="Yu3">
    <w:name w:val="_Yu__уров_3"/>
    <w:basedOn w:val="a"/>
    <w:qFormat/>
    <w:rsid w:val="00E43D25"/>
    <w:pPr>
      <w:numPr>
        <w:ilvl w:val="2"/>
        <w:numId w:val="4"/>
      </w:numPr>
      <w:spacing w:before="120" w:after="120" w:line="240" w:lineRule="auto"/>
      <w:ind w:left="0"/>
      <w:jc w:val="both"/>
      <w:outlineLvl w:val="2"/>
    </w:pPr>
    <w:rPr>
      <w:rFonts w:ascii="Calibri" w:eastAsia="Calibri" w:hAnsi="Calibri"/>
      <w:color w:val="auto"/>
      <w:sz w:val="28"/>
      <w:szCs w:val="28"/>
    </w:rPr>
  </w:style>
  <w:style w:type="paragraph" w:customStyle="1" w:styleId="Yu4">
    <w:name w:val="_Yu__уров_4"/>
    <w:basedOn w:val="Yu3"/>
    <w:qFormat/>
    <w:rsid w:val="00E43D25"/>
    <w:pPr>
      <w:numPr>
        <w:ilvl w:val="3"/>
      </w:numPr>
      <w:outlineLvl w:val="3"/>
    </w:pPr>
  </w:style>
  <w:style w:type="paragraph" w:customStyle="1" w:styleId="Yu5">
    <w:name w:val="_Yu__уров_5"/>
    <w:basedOn w:val="Yu4"/>
    <w:link w:val="Yu50"/>
    <w:qFormat/>
    <w:rsid w:val="00E43D25"/>
    <w:pPr>
      <w:numPr>
        <w:ilvl w:val="4"/>
      </w:numPr>
      <w:spacing w:before="60" w:after="60"/>
      <w:outlineLvl w:val="4"/>
    </w:pPr>
  </w:style>
  <w:style w:type="paragraph" w:customStyle="1" w:styleId="Yu6">
    <w:name w:val="_Yu__уров_6"/>
    <w:basedOn w:val="Yu5"/>
    <w:qFormat/>
    <w:rsid w:val="00E43D25"/>
    <w:pPr>
      <w:numPr>
        <w:ilvl w:val="5"/>
      </w:numPr>
      <w:tabs>
        <w:tab w:val="num" w:pos="360"/>
      </w:tabs>
      <w:ind w:left="4860" w:hanging="180"/>
      <w:outlineLvl w:val="5"/>
    </w:pPr>
  </w:style>
  <w:style w:type="character" w:customStyle="1" w:styleId="Yu50">
    <w:name w:val="_Yu__уров_5 Знак"/>
    <w:basedOn w:val="a0"/>
    <w:link w:val="Yu5"/>
    <w:rsid w:val="00E43D25"/>
    <w:rPr>
      <w:rFonts w:ascii="Calibri" w:eastAsia="Calibri" w:hAnsi="Calibri"/>
      <w:color w:val="auto"/>
      <w:sz w:val="28"/>
      <w:szCs w:val="28"/>
    </w:rPr>
  </w:style>
  <w:style w:type="paragraph" w:customStyle="1" w:styleId="Yu7">
    <w:name w:val="_Yu__уров_7"/>
    <w:basedOn w:val="Yu6"/>
    <w:qFormat/>
    <w:rsid w:val="00E43D25"/>
    <w:pPr>
      <w:numPr>
        <w:ilvl w:val="6"/>
      </w:numPr>
      <w:tabs>
        <w:tab w:val="num" w:pos="360"/>
      </w:tabs>
      <w:ind w:left="5580" w:hanging="360"/>
      <w:outlineLvl w:val="6"/>
    </w:pPr>
  </w:style>
  <w:style w:type="numbering" w:customStyle="1" w:styleId="Yu">
    <w:name w:val="_Yu_СПИСОК"/>
    <w:uiPriority w:val="99"/>
    <w:rsid w:val="00E43D25"/>
    <w:pPr>
      <w:numPr>
        <w:numId w:val="3"/>
      </w:numPr>
    </w:pPr>
  </w:style>
  <w:style w:type="paragraph" w:customStyle="1" w:styleId="ConsPlusNormal">
    <w:name w:val="ConsPlusNormal"/>
    <w:rsid w:val="00605395"/>
    <w:pPr>
      <w:widowControl w:val="0"/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eastAsia="ru-RU" w:bidi="hi-IN"/>
    </w:rPr>
  </w:style>
  <w:style w:type="character" w:styleId="af1">
    <w:name w:val="FollowedHyperlink"/>
    <w:basedOn w:val="a0"/>
    <w:uiPriority w:val="99"/>
    <w:semiHidden/>
    <w:unhideWhenUsed/>
    <w:rsid w:val="00D5584A"/>
    <w:rPr>
      <w:color w:val="954F72" w:themeColor="followedHyperlink"/>
      <w:u w:val="single"/>
    </w:rPr>
  </w:style>
  <w:style w:type="character" w:customStyle="1" w:styleId="font1">
    <w:name w:val="font1"/>
    <w:qFormat/>
    <w:rsid w:val="00121785"/>
  </w:style>
  <w:style w:type="paragraph" w:styleId="af2">
    <w:name w:val="Balloon Text"/>
    <w:basedOn w:val="a"/>
    <w:link w:val="af3"/>
    <w:uiPriority w:val="99"/>
    <w:semiHidden/>
    <w:unhideWhenUsed/>
    <w:rsid w:val="00B5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5179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9C6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64ED"/>
    <w:rPr>
      <w:rFonts w:ascii="Courier New" w:hAnsi="Courier New" w:cs="Courier New"/>
      <w:color w:val="auto"/>
      <w:sz w:val="20"/>
      <w:lang w:eastAsia="ru-RU"/>
    </w:rPr>
  </w:style>
  <w:style w:type="paragraph" w:customStyle="1" w:styleId="Standard">
    <w:name w:val="Standard"/>
    <w:rsid w:val="009C64ED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color w:val="auto"/>
      <w:kern w:val="3"/>
      <w:szCs w:val="22"/>
    </w:rPr>
  </w:style>
  <w:style w:type="character" w:styleId="af4">
    <w:name w:val="footnote reference"/>
    <w:rsid w:val="001E4105"/>
    <w:rPr>
      <w:rFonts w:cs="Times New Roman"/>
      <w:vertAlign w:val="superscript"/>
    </w:rPr>
  </w:style>
  <w:style w:type="table" w:styleId="af5">
    <w:name w:val="Table Grid"/>
    <w:basedOn w:val="a1"/>
    <w:uiPriority w:val="39"/>
    <w:rsid w:val="00C0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2019CB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styleId="af6">
    <w:name w:val="No Spacing"/>
    <w:uiPriority w:val="1"/>
    <w:qFormat/>
    <w:rsid w:val="008F466F"/>
    <w:pPr>
      <w:spacing w:after="0" w:line="240" w:lineRule="auto"/>
    </w:pPr>
    <w:rPr>
      <w:rFonts w:ascii="Calibri" w:eastAsia="Calibri" w:hAnsi="Calibri"/>
      <w:color w:val="auto"/>
      <w:szCs w:val="22"/>
    </w:rPr>
  </w:style>
  <w:style w:type="paragraph" w:styleId="af7">
    <w:name w:val="footer"/>
    <w:basedOn w:val="a"/>
    <w:link w:val="af8"/>
    <w:uiPriority w:val="99"/>
    <w:unhideWhenUsed/>
    <w:rsid w:val="00AC5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C5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CE012-DF3C-4C06-BC73-E430EF1D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Даниэль Мария Вячеславовна</dc:creator>
  <cp:lastModifiedBy>Гамдуллаев Кямран Сулейманович</cp:lastModifiedBy>
  <cp:revision>2</cp:revision>
  <cp:lastPrinted>2020-10-29T09:07:00Z</cp:lastPrinted>
  <dcterms:created xsi:type="dcterms:W3CDTF">2021-12-30T13:13:00Z</dcterms:created>
  <dcterms:modified xsi:type="dcterms:W3CDTF">2021-12-30T13:13:00Z</dcterms:modified>
</cp:coreProperties>
</file>