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Отчет по результатам антикоррупционной экспертизы нормативных правовых актов Федеральной пробирной палаты </w:t>
        <w:br/>
        <w:t xml:space="preserve">за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/>
        </w:rPr>
        <w:t xml:space="preserve">I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полугодие 2023 года </w:t>
      </w:r>
      <w:r>
        <w:rPr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val="ru-RU"/>
        </w:rPr>
      </w:r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  <w:lang w:eastAsia="ru-RU"/>
        </w:rPr>
      </w:r>
    </w:p>
    <w:tbl>
      <w:tblPr>
        <w:tblW w:w="1037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240"/>
        <w:gridCol w:w="2272"/>
        <w:gridCol w:w="212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нормативного правового акта (проекта нормативного правового акта), по которому проводились антикоррупционные экспертизы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right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проведенных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антикоррупционных экспертиз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по нормативному правовому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акту (проекту нормативного правового акта) (указать замечания,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в случае их наличия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в заключениях по результатам проведенных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антикоррупционных экспертиз)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Обоснование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учета (не учета) замечаний, содержащихся в заключениях по результатам проведенных антикоррупционных экспертиз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                   от 17.01.2023 № 31н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 в Методику проведения конкурса на замещение вакантной должности федеральной государственной гражданской службы в Федеральной пробирной палате, утвержденную приказом Федеральной пробирной палаты </w:t>
              <w:br/>
              <w:t xml:space="preserve">от 3 июня 2022 г. № 94н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20.01.2023 № 32н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 в приказ Федеральной пробирной палаты                     от 15 апреля 2021 г. № 78н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альной пробирной палате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24.01.2023 № 36н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 в Положение о кадровом резерве Федеральной пробирной палаты, утвержденное приказом Федеральной пробирной палаты </w:t>
              <w:br/>
              <w:t xml:space="preserve">от 3 ноября 2020 г. № 144н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16.02.2023 № 45н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изменения в Положение об оплате труда и материальном стимулировании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центрального аппар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ата и территориальных органов Федеральной пробирной палаты, утвержденного приказом Федеральной пробирной палаты </w:t>
              <w:br/>
              <w:t xml:space="preserve">от 23 ноября 2020 г. № 154н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02.03.2023 № 50н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 внесении изменений в приказ Федеральной пробирной палаты </w:t>
              <w:br/>
              <w:t xml:space="preserve">от 26 апреля 2021 г. № 87н «Об утверждении Порядка возбуждения ходатайств о награждении государственными наградами Российской Федерации федеральных государственных гражданских служащих и работников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, замещающих должности, не являющиеся должностями федеральной государственной гражданской службы, Федеральной пробирной палаты и ее территориальных органов»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06.03.2023 № 51н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 в приказ Федеральной пробирной палаты </w:t>
              <w:br/>
              <w:t xml:space="preserve">от 17 мая 2021 г. № 103н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07.03.2023 № 55н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непроведении конкурса на замещение вакантных должностей федеральной государственной гражданской службы Федеральной пробирной палаты при назначении на должности федеральной государственной гражданской службы, относящиеся к высшей, главной, ведущей и старш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ей группам, в 2023 году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09.03.2023 № 56н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изменения в пункт 23 Служебного распорядка центрального аппарата Федеральной пробирной палаты, утвержденного приказом Федеральной пробирной палаты от 24 декабря 2020 г. № 180н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03.04.2023 № 75н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 в Положение о 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Феде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ральной пробирной палаты от 21 апреля 2021 г. № 84н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03.04.2023 № 74н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 в Положение о Комиссии территориального органа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Фе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деральной пробирной палаты от 21 апреля 2021 г. № 85н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18.04.2023 № 95н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Об учреждении знака отличия Федеральной пробирной палаты «Почетный наставник»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white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white"/>
              </w:rPr>
              <w:t xml:space="preserve">каз Федеральной пробирной палаты </w:t>
              <w:br/>
              <w:t xml:space="preserve">от 29.05.2023 № 111н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 внесении изменений в приложения № 2 - 4 к приказу Федеральной пробирной палаты от 5 мая 2022 г. № 79н </w:t>
              <w:br/>
              <w:t xml:space="preserve">«О ведомственных наградах Федеральной пробирной палаты».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Федеральной пробирной палаты </w:t>
              <w:br/>
              <w:t xml:space="preserve">от 30.05.2023 № 112н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Об утверждении Порядка представления гражданами, претендующими на замещение должностей федеральной государственной гражданской службы в Федеральной пробирной палате и ее территориальных органах, и федеральными государственными гражданскими служащими Федера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льной пробирной палаты и ее территориальных органов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Федеральной пробирной палаты </w:t>
              <w:br/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от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07.06.2023 № 113н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б утверждении Порядка применения риск-ориентированного подхода при осуществлении государственного контроля при ввозе в Российскую Федерацию из государств, </w:t>
              <w:br/>
              <w:t xml:space="preserve">не входящих в Евразийский экономический союз, и вывозе из Российской Федерации в эти государства дра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гоценных металлов и сырьевых товаров, содержащих драгоценные металлы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Федеральной пробирной палаты </w:t>
              <w:br/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от 10.06.2023 № 141н «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б утверждении Порядка проведения уполномоченными должностными лицами Федеральной пробирной палаты и (или) </w:t>
              <w:br/>
              <w:t xml:space="preserve">ее территориальных органов контрольных мероприятий в сфере противодействия легализации (отмыванию) доходов, полученных преступным путем, финансирован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white"/>
              </w:rPr>
              <w:t xml:space="preserve">ию терроризма </w:t>
              <w:br/>
              <w:t xml:space="preserve">и финансированию распространения оружия массового уничтожения</w:t>
            </w:r>
            <w:r>
              <w:rPr>
                <w:rFonts w:ascii="Times New Roman" w:hAnsi="Times New Roman" w:eastAsia="Arial" w:cs="Times New Roman"/>
                <w:color w:val="auto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каз Федеральной пробирной палаты </w:t>
              <w:br/>
              <w:t xml:space="preserve">от 27.06.2023 № 127н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Arial" w:cs="Times New Roman"/>
                <w:color w:val="000000" w:themeColor="text1"/>
                <w:spacing w:val="-5"/>
                <w:sz w:val="24"/>
                <w:szCs w:val="24"/>
                <w:highlight w:val="white"/>
              </w:rPr>
              <w:t xml:space="preserve">Об утверждении форм документов, используемых должностными лицами Федеральной пробирной палаты и ее территориальными органами при осуществлении федерального государственного пробирного надзора</w:t>
            </w:r>
            <w:r>
              <w:rPr>
                <w:rFonts w:ascii="Times New Roman" w:hAnsi="Times New Roman" w:eastAsia="Arial" w:cs="Times New Roman"/>
                <w:color w:val="000000" w:themeColor="text1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Федеральной пробирной палаты </w:t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pacing w:val="-5"/>
                <w:sz w:val="24"/>
                <w:szCs w:val="24"/>
                <w:highlight w:val="none"/>
              </w:rPr>
              <w:t xml:space="preserve">от 11.07.2023 № 142н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Arial" w:cs="Times New Roman"/>
                <w:color w:val="000000" w:themeColor="text1"/>
                <w:spacing w:val="-5"/>
                <w:sz w:val="24"/>
                <w:szCs w:val="24"/>
                <w:highlight w:val="white"/>
              </w:rPr>
              <w:t xml:space="preserve">Об утверждении форм документов, используемых должностными лицами Федеральной пробирной палаты при поведении контрольных (надзорных) мероприятий без взаимодействия с контролируемыми лицами при осуществлении федерального государственного пробирного надзора</w:t>
            </w:r>
            <w:r>
              <w:rPr>
                <w:rFonts w:ascii="Times New Roman" w:hAnsi="Times New Roman" w:eastAsia="Arial" w:cs="Times New Roman"/>
                <w:color w:val="000000" w:themeColor="text1"/>
                <w:spacing w:val="-5"/>
                <w:sz w:val="24"/>
                <w:szCs w:val="24"/>
                <w:highlight w:val="none"/>
              </w:rPr>
              <w:t xml:space="preserve"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Коррупциогенные факторы не выявлены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71478297"/>
      <w:docPartObj>
        <w:docPartGallery w:val="Page Numbers (Top of Page)"/>
        <w:docPartUnique w:val="true"/>
      </w:docPartObj>
      <w:rPr/>
    </w:sdtPr>
    <w:sdtContent>
      <w:p>
        <w:pPr>
          <w:pStyle w:val="840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6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6"/>
    <w:next w:val="83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0"/>
    <w:uiPriority w:val="99"/>
  </w:style>
  <w:style w:type="character" w:styleId="689">
    <w:name w:val="Footer Char"/>
    <w:basedOn w:val="837"/>
    <w:link w:val="842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2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Header"/>
    <w:basedOn w:val="836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7"/>
    <w:link w:val="840"/>
    <w:uiPriority w:val="99"/>
  </w:style>
  <w:style w:type="paragraph" w:styleId="842">
    <w:name w:val="Footer"/>
    <w:basedOn w:val="836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7"/>
    <w:link w:val="842"/>
    <w:uiPriority w:val="99"/>
  </w:style>
  <w:style w:type="character" w:styleId="844">
    <w:name w:val="Subtle Emphasis"/>
    <w:basedOn w:val="837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Пфаф Елизавета</dc:creator>
  <cp:keywords/>
  <dc:description/>
  <cp:revision>15</cp:revision>
  <dcterms:created xsi:type="dcterms:W3CDTF">2022-07-04T12:40:00Z</dcterms:created>
  <dcterms:modified xsi:type="dcterms:W3CDTF">2023-09-15T10:50:29Z</dcterms:modified>
</cp:coreProperties>
</file>