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"/>
          <w:szCs w:val="2"/>
        </w:rPr>
        <w:framePr w:wrap="none" w:vAnchor="page" w:hAnchor="page" w:x="5862" w:y="1332"/>
      </w:pP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Picut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pStyle w:val="655"/>
        <w:ind w:left="490" w:right="960"/>
        <w:spacing w:after="0"/>
        <w:rPr>
          <w:rFonts w:ascii="Times New Roman" w:hAnsi="Times New Roman" w:cs="Times New Roman"/>
        </w:rPr>
        <w:framePr w:w="9778" w:h="384" w:wrap="none" w:vAnchor="page" w:hAnchor="page" w:x="1628" w:y="2349" w:hRule="exact"/>
      </w:pPr>
      <w:r>
        <w:rPr>
          <w:rFonts w:ascii="Times New Roman" w:hAnsi="Times New Roman" w:cs="Times New Roman"/>
        </w:rPr>
        <w:t xml:space="preserve">МИНИСТЕРСТВО ФИНАНСОВ РОССИЙСКОЙ ФЕДЕРАЦИИ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  <w:framePr w:w="9778" w:h="322" w:wrap="none" w:vAnchor="page" w:hAnchor="page" w:x="1628" w:y="2820" w:hRule="exact"/>
      </w:pPr>
      <w:r>
        <w:rPr>
          <w:rFonts w:ascii="Times New Roman" w:hAnsi="Times New Roman" w:cs="Times New Roman"/>
          <w:sz w:val="26"/>
          <w:szCs w:val="26"/>
        </w:rPr>
        <w:t xml:space="preserve">ФЕДЕРАЛЬНАЯ ПРОБИРНАЯ ПАЛАТА</w:t>
      </w:r>
      <w:r>
        <w:rPr>
          <w:rFonts w:ascii="Times New Roman" w:hAnsi="Times New Roman" w:cs="Times New Roman"/>
        </w:rPr>
      </w:r>
    </w:p>
    <w:p>
      <w:pPr>
        <w:pStyle w:val="655"/>
        <w:spacing w:after="0"/>
        <w:rPr>
          <w:rFonts w:ascii="Times New Roman" w:hAnsi="Times New Roman" w:cs="Times New Roman"/>
        </w:rPr>
        <w:framePr w:w="9778" w:h="331" w:wrap="none" w:vAnchor="page" w:hAnchor="page" w:x="1628" w:y="3660" w:hRule="exact"/>
      </w:pPr>
      <w:r>
        <w:rPr>
          <w:rFonts w:ascii="Times New Roman" w:hAnsi="Times New Roman" w:cs="Times New Roman"/>
        </w:rPr>
        <w:t xml:space="preserve">ПРИКАЗ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30"/>
          <w:szCs w:val="30"/>
        </w:rPr>
        <w:framePr w:w="9691" w:wrap="none" w:vAnchor="page" w:hAnchor="page" w:x="1628" w:y="4620"/>
      </w:pPr>
      <w:r>
        <w:rPr>
          <w:rFonts w:ascii="Times New Roman" w:hAnsi="Times New Roman" w:cs="Times New Roman"/>
          <w:sz w:val="30"/>
          <w:szCs w:val="30"/>
        </w:rPr>
        <w:t xml:space="preserve">21.11.2022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№ 225</w:t>
      </w:r>
      <w:r>
        <w:rPr>
          <w:rFonts w:ascii="Times New Roman" w:hAnsi="Times New Roman" w:cs="Times New Roman"/>
        </w:rPr>
      </w:r>
    </w:p>
    <w:p>
      <w:pPr>
        <w:pStyle w:val="658"/>
        <w:spacing w:after="0"/>
        <w:rPr>
          <w:rFonts w:ascii="Times New Roman" w:hAnsi="Times New Roman" w:cs="Times New Roman"/>
        </w:rPr>
        <w:framePr w:w="9778" w:h="250" w:wrap="none" w:vAnchor="page" w:hAnchor="page" w:x="1628" w:y="5200" w:hRule="exact"/>
      </w:pPr>
      <w:r>
        <w:rPr>
          <w:rFonts w:ascii="Times New Roman" w:hAnsi="Times New Roman" w:cs="Times New Roman"/>
        </w:rPr>
        <w:t xml:space="preserve">Москва</w:t>
      </w:r>
      <w:r>
        <w:rPr>
          <w:rFonts w:ascii="Times New Roman" w:hAnsi="Times New Roman" w:cs="Times New Roman"/>
        </w:rPr>
      </w:r>
    </w:p>
    <w:p>
      <w:pPr>
        <w:pStyle w:val="659"/>
        <w:jc w:val="center"/>
        <w:spacing w:after="520" w:line="271" w:lineRule="auto"/>
        <w:rPr>
          <w:rFonts w:ascii="Times New Roman" w:hAnsi="Times New Roman" w:cs="Times New Roman"/>
        </w:rPr>
        <w:framePr w:w="9778" w:h="5107" w:wrap="none" w:vAnchor="page" w:hAnchor="page" w:x="1628" w:y="6247" w:hRule="exact"/>
      </w:pPr>
      <w:r>
        <w:rPr>
          <w:rFonts w:ascii="Times New Roman" w:hAnsi="Times New Roman" w:cs="Times New Roman"/>
        </w:rPr>
      </w:r>
      <w:bookmarkStart w:id="0" w:name="bookmark0"/>
      <w:r>
        <w:rPr>
          <w:rFonts w:ascii="Times New Roman" w:hAnsi="Times New Roman" w:cs="Times New Roman"/>
        </w:rPr>
        <w:t xml:space="preserve">О внесении изменений в приказ Федеральной пробирной палаты</w:t>
      </w:r>
      <w:r>
        <w:rPr>
          <w:rFonts w:ascii="Times New Roman" w:hAnsi="Times New Roman" w:cs="Times New Roman"/>
        </w:rPr>
        <w:br/>
        <w:t xml:space="preserve">от 26 марта 2021 г. № 55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5107" w:wrap="none" w:vAnchor="page" w:hAnchor="page" w:x="1628" w:y="6247" w:hRule="exact"/>
      </w:pPr>
      <w:r>
        <w:rPr>
          <w:rFonts w:ascii="Times New Roman" w:hAnsi="Times New Roman" w:cs="Times New Roman"/>
        </w:rPr>
        <w:t xml:space="preserve">В целях приведения нормативных правовых актов Федеральной пробирной палаты в соответствие с законодательством Российской Федерации приказываю: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5107" w:wrap="none" w:vAnchor="page" w:hAnchor="page" w:x="1628" w:y="6247" w:hRule="exact"/>
      </w:pPr>
      <w:r>
        <w:rPr>
          <w:rFonts w:ascii="Times New Roman" w:hAnsi="Times New Roman" w:cs="Times New Roman"/>
        </w:rPr>
        <w:t xml:space="preserve">Внести изменения в приказ Федерально</w:t>
      </w:r>
      <w:r>
        <w:rPr>
          <w:rFonts w:ascii="Times New Roman" w:hAnsi="Times New Roman" w:cs="Times New Roman"/>
        </w:rPr>
        <w:t xml:space="preserve">й пробирной палаты от 26 марта 2021 г. № 55 «Об утверждении Инструкции по делопроизводству в Федеральной пробирной палате и признании утратившим силу приказа Федеральной пробирной палаты от 15 февраля 2021 г. № 20» согласно приложению к настоящему приказу.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spacing w:line="240" w:lineRule="auto"/>
        <w:rPr>
          <w:rFonts w:ascii="Times New Roman" w:hAnsi="Times New Roman" w:cs="Times New Roman"/>
        </w:rPr>
        <w:framePr w:wrap="none" w:vAnchor="page" w:hAnchor="page" w:x="1647" w:y="12103"/>
      </w:pPr>
      <w:r>
        <w:rPr>
          <w:rFonts w:ascii="Times New Roman" w:hAnsi="Times New Roman" w:cs="Times New Roman"/>
        </w:rPr>
        <w:t xml:space="preserve">Руководитель</w:t>
      </w:r>
      <w:r>
        <w:rPr>
          <w:rFonts w:ascii="Times New Roman" w:hAnsi="Times New Roman" w:cs="Times New Roman"/>
        </w:rPr>
      </w:r>
    </w:p>
    <w:p>
      <w:pPr>
        <w:pStyle w:val="656"/>
        <w:ind w:right="400" w:firstLine="0"/>
        <w:jc w:val="right"/>
        <w:spacing w:line="240" w:lineRule="auto"/>
        <w:rPr>
          <w:rFonts w:ascii="Times New Roman" w:hAnsi="Times New Roman" w:cs="Times New Roman"/>
        </w:rPr>
        <w:framePr w:w="9778" w:h="350" w:wrap="none" w:vAnchor="page" w:hAnchor="page" w:x="1628" w:y="12088" w:hRule="exact"/>
      </w:pPr>
      <w:r>
        <w:rPr>
          <w:rFonts w:ascii="Times New Roman" w:hAnsi="Times New Roman" w:cs="Times New Roman"/>
        </w:rPr>
        <w:t xml:space="preserve">Ю.И. Зубарев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center"/>
        <w:spacing w:after="940" w:line="240" w:lineRule="auto"/>
        <w:tabs>
          <w:tab w:val="left" w:pos="2707" w:leader="none"/>
        </w:tabs>
        <w:rPr>
          <w:rFonts w:ascii="Times New Roman" w:hAnsi="Times New Roman" w:cs="Times New Roman"/>
        </w:rPr>
        <w:framePr w:w="5026" w:h="1546" w:wrap="none" w:vAnchor="page" w:hAnchor="page" w:x="6511" w:y="796" w:hRule="exact"/>
      </w:pPr>
      <w:r>
        <w:rPr>
          <w:rFonts w:ascii="Times New Roman" w:hAnsi="Times New Roman" w:cs="Times New Roman"/>
        </w:rPr>
        <w:t xml:space="preserve">Приложение</w:t>
      </w:r>
      <w:r>
        <w:rPr>
          <w:rFonts w:ascii="Times New Roman" w:hAnsi="Times New Roman" w:cs="Times New Roman"/>
        </w:rPr>
        <w:br/>
        <w:t xml:space="preserve">к приказу Федеральной</w:t>
      </w:r>
      <w:r>
        <w:rPr>
          <w:rFonts w:ascii="Times New Roman" w:hAnsi="Times New Roman" w:cs="Times New Roman"/>
        </w:rPr>
        <w:br/>
        <w:t xml:space="preserve">пробирной палаты</w:t>
      </w:r>
      <w:r>
        <w:rPr>
          <w:rFonts w:ascii="Times New Roman" w:hAnsi="Times New Roman" w:cs="Times New Roman"/>
        </w:rPr>
        <w:br/>
        <w:t xml:space="preserve">от</w:t>
      </w:r>
      <w:r>
        <w:rPr>
          <w:rFonts w:ascii="Times New Roman" w:hAnsi="Times New Roman" w:cs="Times New Roman"/>
        </w:rPr>
        <w:t xml:space="preserve"> 21 ноября 2022 г</w:t>
      </w:r>
      <w:r>
        <w:rPr>
          <w:rFonts w:ascii="Times New Roman" w:hAnsi="Times New Roman" w:cs="Times New Roman"/>
        </w:rPr>
        <w:t xml:space="preserve">. №</w:t>
      </w:r>
      <w:r>
        <w:rPr>
          <w:rFonts w:ascii="Times New Roman" w:hAnsi="Times New Roman" w:cs="Times New Roman"/>
        </w:rPr>
        <w:t xml:space="preserve"> 225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center"/>
        <w:spacing w:after="360" w:line="240" w:lineRule="auto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  <w:b/>
          <w:bCs/>
        </w:rPr>
        <w:t xml:space="preserve">ИЗМЕНЕНИЯ,</w:t>
      </w:r>
      <w:r>
        <w:rPr>
          <w:rFonts w:ascii="Times New Roman" w:hAnsi="Times New Roman" w:cs="Times New Roman"/>
          <w:b/>
          <w:bCs/>
        </w:rPr>
        <w:br/>
        <w:t xml:space="preserve">которые вносятся в приказ Федеральной пробирной палаты</w:t>
      </w:r>
      <w:r>
        <w:rPr>
          <w:rFonts w:ascii="Times New Roman" w:hAnsi="Times New Roman" w:cs="Times New Roman"/>
          <w:b/>
          <w:bCs/>
        </w:rPr>
        <w:br/>
        <w:t xml:space="preserve">от 26 марта 2021 г. № 55 «Об утверждении Инструкции по</w:t>
      </w:r>
      <w:r>
        <w:rPr>
          <w:rFonts w:ascii="Times New Roman" w:hAnsi="Times New Roman" w:cs="Times New Roman"/>
          <w:b/>
          <w:bCs/>
        </w:rPr>
        <w:br/>
        <w:t xml:space="preserve">делопроизводству в Федеральной пробирной палате и признании</w:t>
      </w:r>
      <w:r>
        <w:rPr>
          <w:rFonts w:ascii="Times New Roman" w:hAnsi="Times New Roman" w:cs="Times New Roman"/>
          <w:b/>
          <w:bCs/>
        </w:rPr>
        <w:br/>
        <w:t xml:space="preserve">утратившим силу приказа Федеральной пробирной палаты</w:t>
      </w:r>
      <w:r>
        <w:rPr>
          <w:rFonts w:ascii="Times New Roman" w:hAnsi="Times New Roman" w:cs="Times New Roman"/>
          <w:b/>
          <w:bCs/>
        </w:rPr>
        <w:br/>
        <w:t xml:space="preserve">от 15 февраля 2021 г. № 20»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1"/>
        </w:numPr>
        <w:ind w:firstLine="720"/>
        <w:jc w:val="both"/>
        <w:tabs>
          <w:tab w:val="left" w:pos="1406" w:leader="none"/>
        </w:tabs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В преамбуле приказа Федеральной пробирной палаты от 26 марта 2021 г. № </w:t>
      </w:r>
      <w:r>
        <w:rPr>
          <w:rFonts w:ascii="Times New Roman" w:hAnsi="Times New Roman" w:cs="Times New Roman"/>
        </w:rPr>
        <w:t xml:space="preserve">55 «Об утверждении Инструкции по делопроизводству в Федеральной пробирной палате и признании утратившим силу приказа Федеральной пробирной палаты от 15 февраля 2021 г. № 20» (далее - приказ) слова «24 декабря 2020 г.» заменить словами «25 декабря 2020 г.».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1"/>
        </w:numPr>
        <w:ind w:firstLine="720"/>
        <w:jc w:val="both"/>
        <w:tabs>
          <w:tab w:val="left" w:pos="1406" w:leader="none"/>
        </w:tabs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В Инструкции по делопроизводству в Федеральной пробирной палате, утвержденной приказом: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660"/>
        <w:jc w:val="both"/>
        <w:tabs>
          <w:tab w:val="left" w:pos="1189" w:leader="none"/>
        </w:tabs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в пункте 1.2:</w:t>
      </w:r>
      <w:r>
        <w:rPr>
          <w:rFonts w:ascii="Times New Roman" w:hAnsi="Times New Roman" w:cs="Times New Roman"/>
        </w:rPr>
      </w:r>
    </w:p>
    <w:p>
      <w:pPr>
        <w:pStyle w:val="656"/>
        <w:ind w:firstLine="660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абзац двенадцатый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«- Правилами обмена документами в электронном виде при организации информационного воздействия, утвержденными постановлением Правительства Российской Федерации от 24 июля 2021 г. № 1264;»;</w:t>
      </w:r>
      <w:r>
        <w:rPr>
          <w:rFonts w:ascii="Times New Roman" w:hAnsi="Times New Roman" w:cs="Times New Roman"/>
        </w:rPr>
      </w:r>
    </w:p>
    <w:p>
      <w:pPr>
        <w:pStyle w:val="656"/>
        <w:ind w:firstLine="660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абзац шестнадцатый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«- Требованиями к организационно-техническому вза</w:t>
      </w:r>
      <w:r>
        <w:rPr>
          <w:rFonts w:ascii="Times New Roman" w:hAnsi="Times New Roman" w:cs="Times New Roman"/>
        </w:rPr>
        <w:t xml:space="preserve">имодействию государственных органов и государственных организаций, утвержденными приказом Министерства цифрового развития, связи и массовых коммуникаций Российской Федерации и Федеральной службы охраны Российской Федерации от 4 декабря 2020 г. № 667/233;»;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в абзаце семнадцатом слова «24 декабря 2020 г,» заменить словами «25 декабря 2020 г.»;</w:t>
      </w:r>
      <w:r>
        <w:rPr>
          <w:rFonts w:ascii="Times New Roman" w:hAnsi="Times New Roman" w:cs="Times New Roman"/>
        </w:rPr>
      </w:r>
    </w:p>
    <w:p>
      <w:pPr>
        <w:pStyle w:val="656"/>
        <w:ind w:firstLine="660"/>
        <w:rPr>
          <w:rFonts w:ascii="Times New Roman" w:hAnsi="Times New Roman" w:cs="Times New Roman"/>
        </w:rPr>
        <w:framePr w:w="9797" w:h="12991" w:wrap="none" w:vAnchor="page" w:hAnchor="page" w:x="1578" w:y="2881" w:hRule="exact"/>
      </w:pPr>
      <w:r>
        <w:rPr>
          <w:rFonts w:ascii="Times New Roman" w:hAnsi="Times New Roman" w:cs="Times New Roman"/>
        </w:rPr>
        <w:t xml:space="preserve">абзац двадцатый изложить в следующей редакции: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87" w:y="894"/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«правилами организации хранения, комплектования, учета и использован</w:t>
      </w:r>
      <w:r>
        <w:rPr>
          <w:rFonts w:ascii="Times New Roman" w:hAnsi="Times New Roman" w:cs="Times New Roman"/>
        </w:rPr>
        <w:t xml:space="preserve">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 марта 2015 г. № 526;»;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20"/>
        <w:jc w:val="both"/>
        <w:tabs>
          <w:tab w:val="left" w:pos="1254" w:leader="none"/>
        </w:tabs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в пункте 1.11 слова «и развития информационной инфраструктуры» исключить;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20"/>
        <w:jc w:val="both"/>
        <w:tabs>
          <w:tab w:val="left" w:pos="1259" w:leader="none"/>
        </w:tabs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абзац третий подпункта 2.14.9 пункта 2.14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«- договоров и государственных контрактов, заключенных в рамках хозяйственной деятельности и материального обеспечения ФПП, - в отделе организации закупочной деятельности Управления планирования и исполнения бюджета.»;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20"/>
        <w:jc w:val="both"/>
        <w:tabs>
          <w:tab w:val="left" w:pos="1268" w:leader="none"/>
        </w:tabs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в пункте 2.15: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подпункт 2.15.1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«2.15.1. Порядок контроля и сроки исполнения документов в ФПП определяются Регламентом Федеральной пробирной палаты, утвержденным приказом ФПП от 3 февраля 2021 г. № 12н.»;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подпункт 2.15.12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«2.15.12. Если срок исполнения в поручении не указан, оно подлежит исполнению в течение одного месяца с даты его подписания (до </w:t>
      </w:r>
      <w:r>
        <w:rPr>
          <w:rFonts w:ascii="Times New Roman" w:hAnsi="Times New Roman" w:cs="Times New Roman"/>
        </w:rPr>
        <w:t xml:space="preserve">соответствующего числа следующего месяца, а если в следующем месяце такого числа нет, то до последнего дня месяца). Если последний день срока исполнения поручения приходится на нерабочий день, поручение подлежит исполнению в предшествующий ему рабочий день</w:t>
      </w:r>
      <w:r>
        <w:rPr>
          <w:rFonts w:ascii="Times New Roman" w:hAnsi="Times New Roman" w:cs="Times New Roman"/>
          <w:vertAlign w:val="superscript"/>
        </w:rPr>
        <w:t xml:space="preserve">4</w:t>
      </w:r>
      <w:r>
        <w:rPr>
          <w:rFonts w:ascii="Times New Roman" w:hAnsi="Times New Roman" w:cs="Times New Roman"/>
        </w:rPr>
        <w:t xml:space="preserve">.»;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сноску «4»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  <w:vertAlign w:val="superscript"/>
        </w:rPr>
        <w:t xml:space="preserve">4</w:t>
      </w:r>
      <w:r>
        <w:rPr>
          <w:rFonts w:ascii="Times New Roman" w:hAnsi="Times New Roman" w:cs="Times New Roman"/>
        </w:rPr>
        <w:t xml:space="preserve"> Пункт 4.14 Регламента Федеральной пробирной палаты, утвержденного приказом ФПП от 3 февраля 2021 г. № 12н.»;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20"/>
        <w:jc w:val="both"/>
        <w:tabs>
          <w:tab w:val="left" w:pos="1273" w:leader="none"/>
        </w:tabs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в пункте 3.1: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7" w:h="14438" w:wrap="none" w:vAnchor="page" w:hAnchor="page" w:x="1583" w:y="1321" w:hRule="exact"/>
      </w:pPr>
      <w:r>
        <w:rPr>
          <w:rFonts w:ascii="Times New Roman" w:hAnsi="Times New Roman" w:cs="Times New Roman"/>
        </w:rPr>
        <w:t xml:space="preserve">в подпункте 3.1.8 слово «пунктом» заменить словом «подпунктом»;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87" w:y="913"/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подпункт 3.1.12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2"/>
        </w:numPr>
        <w:ind w:firstLine="700"/>
        <w:jc w:val="both"/>
        <w:tabs>
          <w:tab w:val="left" w:pos="1021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3.1.12. Сроки хранения документов, включенных в номенклатуру дел ФПП, устанавливаются в соответствии с: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2"/>
        </w:numPr>
        <w:ind w:firstLine="700"/>
        <w:jc w:val="both"/>
        <w:tabs>
          <w:tab w:val="left" w:pos="978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федеральными законами, иными нормативными правовыми актами Российской Федерации;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2"/>
        </w:numPr>
        <w:ind w:firstLine="700"/>
        <w:jc w:val="both"/>
        <w:tabs>
          <w:tab w:val="left" w:pos="978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Перечнем документов, образующихся в процессе деятельности Федеральной пробирной палаты и ее территориальных органов, с указанием сроков хранения, утвержденным приказом ФПП от 6 октября 2022 г. № 152.»;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сноску «5» признать утратившей силу;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290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подпункте 3.3.11 пункта 3.3 слово «пункте» заменить словом «подпункте»;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294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пункте 4.2 слова «Федеральной пробирной палаты» заменить словом «ФПП»;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289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пункте 4.6 слово «государственного» исключить;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289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пункте 5.2 слово «государственного» исключить;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428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приложении № 6: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абзаце девятом пункта 14 слово «правовым» заменить словом «правовыми»;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сноску «6» к пункту 17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  <w:vertAlign w:val="superscript"/>
        </w:rPr>
        <w:t xml:space="preserve">6</w:t>
      </w:r>
      <w:r>
        <w:rPr>
          <w:rFonts w:ascii="Times New Roman" w:hAnsi="Times New Roman" w:cs="Times New Roman"/>
        </w:rPr>
        <w:t xml:space="preserve"> Приказ Министерства цифрового развития, связ</w:t>
      </w:r>
      <w:r>
        <w:rPr>
          <w:rFonts w:ascii="Times New Roman" w:hAnsi="Times New Roman" w:cs="Times New Roman"/>
        </w:rPr>
        <w:t xml:space="preserve">и и массовых коммуникаций Российской Федерации и Федеральной службы охраны Российской Федерации от 4 декабря 2020 г. № 667/233 «Об утверждении требований к организационно-техническому взаимодействию государственных органов и государственных организаций».»;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428" w:leader="none"/>
        </w:tabs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в приложении № 7: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подпункт «а» пункта 1 дополнить абзацем следующего содержания: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3973" w:wrap="none" w:vAnchor="page" w:hAnchor="page" w:x="1583" w:y="1326" w:hRule="exact"/>
      </w:pPr>
      <w:r>
        <w:rPr>
          <w:rFonts w:ascii="Times New Roman" w:hAnsi="Times New Roman" w:cs="Times New Roman"/>
        </w:rPr>
        <w:t xml:space="preserve">«10 - Межрегиональное управление Федеральной пробирной палаты лабораторных исследований и </w:t>
      </w:r>
      <w:r>
        <w:rPr>
          <w:rFonts w:ascii="Times New Roman" w:hAnsi="Times New Roman" w:cs="Times New Roman"/>
        </w:rPr>
        <w:t xml:space="preserve">геммологической</w:t>
      </w:r>
      <w:r>
        <w:rPr>
          <w:rFonts w:ascii="Times New Roman" w:hAnsi="Times New Roman" w:cs="Times New Roman"/>
        </w:rPr>
        <w:t xml:space="preserve"> экспертизы;»;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92" w:y="884"/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в абзаце третьем подпункта «а» пункта 2 цифры «56» заменить цифрами «57»;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подпункт «а» пункта 3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«а) код территориального органа Федеральной пробирной палаты и код структурн</w:t>
      </w:r>
      <w:r>
        <w:rPr>
          <w:rFonts w:ascii="Times New Roman" w:hAnsi="Times New Roman" w:cs="Times New Roman"/>
        </w:rPr>
        <w:t xml:space="preserve">ого подразделения территориального органа Федеральной пробирной палаты в соответствии с приказом Федеральной пробирной палаты от 28 апреля 2021 г. № 94 «Об утверждении кодов управлений центрального аппарата Федеральной пробирной палаты, территориальных орг</w:t>
      </w:r>
      <w:r>
        <w:rPr>
          <w:rFonts w:ascii="Times New Roman" w:hAnsi="Times New Roman" w:cs="Times New Roman"/>
        </w:rPr>
        <w:t xml:space="preserve">анов Федеральной пробирной палаты и их структурных подразделений (участков) и внесении изменений в приказ Федеральной пробирной палаты от 30 декабря 2020 г. № 188» с изменением, внесенным приказом Федеральной пробирной палаты от 30 августа 2022 г. № 132;»;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389" w:leader="none"/>
        </w:tabs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в приложении № 8: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абзац пятый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«В случае, если приказом вносятся изменения в несколько приказов, то в названии акта может содержаться указание на сферу правового регулирования изменяемых актов, а при внесении измен</w:t>
      </w:r>
      <w:r>
        <w:rPr>
          <w:rFonts w:ascii="Times New Roman" w:hAnsi="Times New Roman" w:cs="Times New Roman"/>
        </w:rPr>
        <w:t xml:space="preserve">ений в акты, число которых не более трех, - реквизиты (дата и номер) таких актов, без указания их названий. Точка в конце названия акта не ставится. Заголовок печатается полужирным шрифтом через 1 межстрочный интервал и выравнивается по центру, например:»;</w:t>
      </w:r>
      <w:r>
        <w:rPr>
          <w:rFonts w:ascii="Times New Roman" w:hAnsi="Times New Roman" w:cs="Times New Roman"/>
        </w:rPr>
      </w:r>
    </w:p>
    <w:p>
      <w:pPr>
        <w:pStyle w:val="656"/>
        <w:ind w:left="700" w:firstLine="0"/>
        <w:jc w:val="both"/>
        <w:tabs>
          <w:tab w:val="left" w:pos="972" w:leader="none"/>
        </w:tabs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абзаце восемнадцатом слово «арабскими» заменить словом «римскими»;</w:t>
      </w:r>
      <w:r>
        <w:rPr>
          <w:rFonts w:ascii="Times New Roman" w:hAnsi="Times New Roman" w:cs="Times New Roman"/>
        </w:rPr>
      </w:r>
    </w:p>
    <w:p>
      <w:pPr>
        <w:pStyle w:val="656"/>
        <w:ind w:left="700" w:firstLine="0"/>
        <w:jc w:val="both"/>
        <w:tabs>
          <w:tab w:val="left" w:pos="973" w:leader="none"/>
        </w:tabs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абзаце сорок восьмом слова «Министерства Финансов» заменить словами «Министерства финансов»;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</w:rPr>
        <w:t xml:space="preserve">образец оформления справки к приказу Федеральной пробирной палаты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center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  <w:b/>
          <w:bCs/>
        </w:rPr>
        <w:t xml:space="preserve">«СПРАВКА</w:t>
      </w:r>
      <w:r>
        <w:rPr>
          <w:rFonts w:ascii="Times New Roman" w:hAnsi="Times New Roman" w:cs="Times New Roman"/>
        </w:rPr>
      </w:r>
    </w:p>
    <w:p>
      <w:pPr>
        <w:pStyle w:val="656"/>
        <w:ind w:left="1360" w:firstLine="0"/>
        <w:jc w:val="both"/>
        <w:spacing w:line="240" w:lineRule="auto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  <w:b/>
          <w:bCs/>
        </w:rPr>
        <w:t xml:space="preserve">к приказу Федеральной пробирной палаты от 5 июля 2022 г.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center"/>
        <w:spacing w:line="240" w:lineRule="auto"/>
        <w:rPr>
          <w:rFonts w:ascii="Times New Roman" w:hAnsi="Times New Roman" w:cs="Times New Roman"/>
        </w:rPr>
        <w:framePr w:w="9778" w:h="14071" w:wrap="none" w:vAnchor="page" w:hAnchor="page" w:x="1587" w:y="1306" w:hRule="exact"/>
      </w:pPr>
      <w:r>
        <w:rPr>
          <w:rFonts w:ascii="Times New Roman" w:hAnsi="Times New Roman" w:cs="Times New Roman"/>
          <w:b/>
          <w:bCs/>
        </w:rPr>
        <w:t xml:space="preserve">№ 106н «О неприменении пункта 2.37 Регламента Федеральной пробирной</w:t>
      </w:r>
      <w:r>
        <w:rPr>
          <w:rFonts w:ascii="Times New Roman" w:hAnsi="Times New Roman" w:cs="Times New Roman"/>
          <w:b/>
          <w:bCs/>
        </w:rPr>
        <w:br/>
        <w:t xml:space="preserve">палаты, утвержденного приказом Федеральной пробирной палаты</w:t>
      </w:r>
      <w:r>
        <w:rPr>
          <w:rFonts w:ascii="Times New Roman" w:hAnsi="Times New Roman" w:cs="Times New Roman"/>
          <w:b/>
          <w:bCs/>
        </w:rPr>
        <w:br/>
        <w:t xml:space="preserve">от 3 февраля 2021 г. № 12н»</w:t>
      </w:r>
      <w:r>
        <w:rPr>
          <w:rFonts w:ascii="Times New Roman" w:hAnsi="Times New Roman" w:cs="Times New Roman"/>
        </w:rPr>
      </w:r>
    </w:p>
    <w:p>
      <w:pPr>
        <w:pStyle w:val="659"/>
        <w:jc w:val="both"/>
        <w:spacing w:after="140"/>
        <w:rPr>
          <w:rFonts w:ascii="Times New Roman" w:hAnsi="Times New Roman" w:cs="Times New Roman"/>
        </w:rPr>
        <w:framePr w:w="9646" w:wrap="none" w:vAnchor="page" w:hAnchor="page" w:x="1587" w:y="15318"/>
      </w:pPr>
      <w:r>
        <w:rPr>
          <w:rFonts w:ascii="Times New Roman" w:hAnsi="Times New Roman" w:cs="Times New Roman"/>
          <w:b w:val="0"/>
          <w:bCs w:val="0"/>
        </w:rPr>
        <w:t xml:space="preserve">1. </w:t>
      </w:r>
      <w:r>
        <w:rPr>
          <w:rFonts w:ascii="Times New Roman" w:hAnsi="Times New Roman" w:cs="Times New Roman"/>
        </w:rPr>
        <w:t xml:space="preserve">Основания, цели и мотивы издания нормативного правового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bookmarkStart w:id="1" w:name="bookmark2"/>
      <w:r>
        <w:rPr>
          <w:rFonts w:ascii="Times New Roman" w:hAnsi="Times New Roman" w:cs="Times New Roman"/>
        </w:rPr>
        <w:t xml:space="preserve">акта.</w:t>
      </w:r>
      <w:bookmarkEnd w:id="1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73" w:y="884"/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spacing w:line="240" w:lineRule="auto"/>
        <w:tabs>
          <w:tab w:val="left" w:pos="4829" w:leader="none"/>
          <w:tab w:val="left" w:pos="5563" w:leader="none"/>
          <w:tab w:val="left" w:pos="8621" w:leader="none"/>
          <w:tab w:val="left" w:pos="9355" w:leader="none"/>
        </w:tabs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Приказ Федеральной пробирной палаты от 5 июля 2022 г. № 106н «О неприменении пункта 2.37 Регламента Федеральной пробирной палаты, утвержденного приказом Федеральной пробирной палаты от 3 февраля 2021 г. № 12н» (далее - приказ) подготовлен в соотв</w:t>
      </w:r>
      <w:r>
        <w:rPr>
          <w:rFonts w:ascii="Times New Roman" w:hAnsi="Times New Roman" w:cs="Times New Roman"/>
        </w:rPr>
        <w:t xml:space="preserve">етствии с пунктом 1.2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№ 30 (Собрание законодательства Российской Федерации, 2005,№4, ст. 305;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2018,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25,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3696), пун</w:t>
      </w:r>
      <w:r>
        <w:rPr>
          <w:rFonts w:ascii="Times New Roman" w:hAnsi="Times New Roman" w:cs="Times New Roman"/>
        </w:rPr>
        <w:t xml:space="preserve">ктом 1.2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№ 452 (Собрание законодательства Российской Федерации, 2005, № 31, ст. 3233), </w:t>
      </w:r>
      <w:r>
        <w:rPr>
          <w:rFonts w:ascii="Times New Roman" w:hAnsi="Times New Roman" w:cs="Times New Roman"/>
        </w:rPr>
        <w:t xml:space="preserve">пунктом 2 постановления Правительства Российской Федерации от 18 марта 2022 г. № 399 «О приостановлении действия отдельных положений некоторых актов Правительства Российской Федерации» (Собрание законодательства Российской Федерации, 2022, № 12, ст. 1879).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Приказ издан с целью приостановления действия пункта 2.37 Регламента Федеральной пробирной палаты, утвержденного приказом Федеральной пробирной палаты от 3 февраля 2021 г. № 12н.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Мотивом издания приказа является </w:t>
      </w:r>
      <w:r>
        <w:rPr>
          <w:rFonts w:ascii="Times New Roman" w:hAnsi="Times New Roman" w:cs="Times New Roman"/>
        </w:rPr>
        <w:t xml:space="preserve">необходимость приведения нормативного правового акта в соответствие с положениями постановления Правительства Российской Федерации от 18 марта 2022 г. № 39 «О приостановлении действия отдельных положений некоторых актов Правительства Российской Федерации».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47" w:leader="none"/>
        </w:tabs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  <w:b/>
          <w:bCs/>
        </w:rPr>
        <w:t xml:space="preserve">Сведения о результатах изучения во</w:t>
      </w:r>
      <w:r>
        <w:rPr>
          <w:rFonts w:ascii="Times New Roman" w:hAnsi="Times New Roman" w:cs="Times New Roman"/>
          <w:b/>
          <w:bCs/>
        </w:rPr>
        <w:t xml:space="preserve">просов, указанных в абзаце первом пункта 5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В процессе работы над приказом были изучены относящиеся к его теме нормативные правовые акты Российской Федерации, в том числе: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постановление Правительства Российской Федерации от 19 января 2005 г.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№ 30 «О Типовом регламенте взаимодействия федеральных органов исполнительной власти»;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</w:rPr>
        <w:t xml:space="preserve">постановление Правительства Российской Федерации от 18 марта 2022 г. № 399 «О приостановлении действия отдельных положений некоторых актов Правительства Российской Федерации».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47" w:leader="none"/>
        </w:tabs>
        <w:rPr>
          <w:rFonts w:ascii="Times New Roman" w:hAnsi="Times New Roman" w:cs="Times New Roman"/>
        </w:rPr>
        <w:framePr w:w="9816" w:h="14294" w:wrap="none" w:vAnchor="page" w:hAnchor="page" w:x="1568" w:y="1306" w:hRule="exact"/>
      </w:pPr>
      <w:r>
        <w:rPr>
          <w:rFonts w:ascii="Times New Roman" w:hAnsi="Times New Roman" w:cs="Times New Roman"/>
          <w:b/>
          <w:bCs/>
        </w:rPr>
        <w:t xml:space="preserve">Сведения обо всех действующих нормативных правовых актах по данному вопросу.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404" w:y="903"/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По данному вопросу изданы приказы Федеральной пробирной палаты</w:t>
      </w:r>
      <w:r>
        <w:rPr>
          <w:rFonts w:ascii="Times New Roman" w:hAnsi="Times New Roman" w:cs="Times New Roman"/>
        </w:rPr>
        <w:t xml:space="preserve"> от 3 февраля 2021 г. № 12н «Об утверждении Регламента Федеральной пробирной палаты», от 25 апреля 2022 г. № 70н «О внесении изменений в Регламент Федеральной пробирной палаты, утвержденный приказом Федеральной пробирной палаты от 3 февраля 2021 г. № 12н».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17" w:leader="none"/>
        </w:tabs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  <w:b/>
          <w:bCs/>
        </w:rPr>
        <w:t xml:space="preserve">Свед</w:t>
      </w:r>
      <w:r>
        <w:rPr>
          <w:rFonts w:ascii="Times New Roman" w:hAnsi="Times New Roman" w:cs="Times New Roman"/>
          <w:b/>
          <w:bCs/>
        </w:rPr>
        <w:t xml:space="preserve">ения о наличии или отсутствии в акте обязательных требований, соответствующих виде государственного контроля (надзора), муниципального контроля, виде разрешительной деятельности и предполагаемая ответственность за их нарушение или последствия несоблюдения.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Приказ не содержит обязательных требований, соответствующих видов государственного контроля (надзора), муниципального контроля, видов разрешительной деятельности, предполагаемую ответственность за их нарушение или последствия несоблюдения.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17" w:leader="none"/>
        </w:tabs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  <w:b/>
          <w:bCs/>
        </w:rPr>
        <w:t xml:space="preserve">Сведения о согласовании акта с заинтересованными федеральными органами исполнительной власти и другими государственными органами.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В соответствии с пунктом 3 Правил подготовки нормативных правовых актов федеральных органов исполнительной власти и их государственной </w:t>
      </w:r>
      <w:r>
        <w:rPr>
          <w:rFonts w:ascii="Times New Roman" w:hAnsi="Times New Roman" w:cs="Times New Roman"/>
        </w:rPr>
        <w:t xml:space="preserve">регистрации, утвержденных постановлением Правительства Российской Федерации от 13 августа 1997 г. № 1009, приказ согласован Министерством финансов Российской Федерации (письмо Министерства финансов Российской Федерации от 15 июня 2022 г. № 22-01-05/56390).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17" w:leader="none"/>
        </w:tabs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  <w:b/>
          <w:bCs/>
        </w:rPr>
        <w:t xml:space="preserve">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В отношении проекта приказа проводилась процедура независимой антикоррупционной экспертизы с 27 мая 2022 г. по 2 июня 2022 г. сроком на 7 календарных дней.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Замечания по результатам независимой антикоррупционной экспертизы по проекту приказа не поступили.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Коррупциогенные факторы в проекте приказа отсутствуют.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17" w:leader="none"/>
        </w:tabs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  <w:b/>
          <w:bCs/>
        </w:rPr>
        <w:t xml:space="preserve">Сведения о направлении проекта акта на заключение об оценке регулирующего воздействия с приложением копии заключения либо об отсутствии оснований для направления проекта акта на заключение об оценке регулирующего воздействия.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</w:rPr>
        <w:t xml:space="preserve">В соответствии с Правилами проведения федеральными органами исполнительной власти оценки регулирующего воздействия проектов норм</w:t>
      </w:r>
      <w:r>
        <w:rPr>
          <w:rFonts w:ascii="Times New Roman" w:hAnsi="Times New Roman" w:cs="Times New Roman"/>
        </w:rPr>
        <w:t xml:space="preserve">ативных правовых актов и проектов решений Евразийской экономической комиссии, утвержденных постановлением Правительства Российской Федерации от 17 декабря 2012 г. № 1318, проведение оценки регулирующего воздействия в отношении проекта приказа не требуется.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17" w:leader="none"/>
        </w:tabs>
        <w:rPr>
          <w:rFonts w:ascii="Times New Roman" w:hAnsi="Times New Roman" w:cs="Times New Roman"/>
        </w:rPr>
        <w:framePr w:w="9792" w:h="14448" w:wrap="none" w:vAnchor="page" w:hAnchor="page" w:x="1580" w:y="1326" w:hRule="exact"/>
      </w:pPr>
      <w:r>
        <w:rPr>
          <w:rFonts w:ascii="Times New Roman" w:hAnsi="Times New Roman" w:cs="Times New Roman"/>
          <w:b/>
          <w:bCs/>
        </w:rPr>
        <w:t xml:space="preserve">Сведения о раскрытии федеральным органом исполнительной власти информации о разработке нормативного правового акта в соответствии с Правилами раскрытия федеральными органами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85" w:y="913"/>
      </w:pP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  <w:b/>
          <w:bCs/>
        </w:rPr>
        <w:t xml:space="preserve">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№ 851.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tabs>
          <w:tab w:val="left" w:pos="3043" w:leader="none"/>
          <w:tab w:val="left" w:pos="8386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</w:t>
      </w:r>
      <w:r>
        <w:rPr>
          <w:rFonts w:ascii="Times New Roman" w:hAnsi="Times New Roman" w:cs="Times New Roman"/>
        </w:rPr>
        <w:tab/>
        <w:t xml:space="preserve">Правительства Российской</w:t>
      </w:r>
      <w:r>
        <w:rPr>
          <w:rFonts w:ascii="Times New Roman" w:hAnsi="Times New Roman" w:cs="Times New Roman"/>
        </w:rPr>
        <w:tab/>
        <w:t xml:space="preserve">Федерации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от 25 августа 2012 г. № 851, проект приказа размещался на официальном сайте </w:t>
      </w:r>
      <w:hyperlink r:id="rId10" w:tooltip="http://www.regulation.gov.ru" w:history="1">
        <w:r>
          <w:rPr>
            <w:rFonts w:ascii="Times New Roman" w:hAnsi="Times New Roman" w:cs="Times New Roman"/>
            <w:lang w:val="en-US" w:eastAsia="en-US" w:bidi="en-US"/>
          </w:rPr>
          <w:t xml:space="preserve">www</w:t>
        </w:r>
        <w:r>
          <w:rPr>
            <w:rFonts w:ascii="Times New Roman" w:hAnsi="Times New Roman" w:cs="Times New Roman"/>
            <w:lang w:eastAsia="en-US" w:bidi="en-US"/>
          </w:rPr>
          <w:t xml:space="preserve">.</w:t>
        </w:r>
        <w:r>
          <w:rPr>
            <w:rFonts w:ascii="Times New Roman" w:hAnsi="Times New Roman" w:cs="Times New Roman"/>
            <w:lang w:val="en-US" w:eastAsia="en-US" w:bidi="en-US"/>
          </w:rPr>
          <w:t xml:space="preserve">regulation</w:t>
        </w:r>
        <w:r>
          <w:rPr>
            <w:rFonts w:ascii="Times New Roman" w:hAnsi="Times New Roman" w:cs="Times New Roman"/>
            <w:lang w:eastAsia="en-US" w:bidi="en-US"/>
          </w:rPr>
          <w:t xml:space="preserve">.</w:t>
        </w:r>
        <w:r>
          <w:rPr>
            <w:rFonts w:ascii="Times New Roman" w:hAnsi="Times New Roman" w:cs="Times New Roman"/>
            <w:lang w:val="en-US" w:eastAsia="en-US" w:bidi="en-US"/>
          </w:rPr>
          <w:t xml:space="preserve">gov</w:t>
        </w:r>
        <w:r>
          <w:rPr>
            <w:rFonts w:ascii="Times New Roman" w:hAnsi="Times New Roman" w:cs="Times New Roman"/>
            <w:lang w:eastAsia="en-US" w:bidi="en-US"/>
          </w:rPr>
          <w:t xml:space="preserve">.</w:t>
        </w:r>
        <w:r>
          <w:rPr>
            <w:rFonts w:ascii="Times New Roman" w:hAnsi="Times New Roman" w:cs="Times New Roman"/>
            <w:lang w:val="en-US" w:eastAsia="en-US" w:bidi="en-US"/>
          </w:rPr>
          <w:t xml:space="preserve">ru</w:t>
        </w:r>
      </w:hyperlink>
      <w:r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 xml:space="preserve">в информационно-телекоммуникационной сети «Интернет» для проведения общественного обсуждения с 27 мая 2022 г. по 10 июня 2022 г. сроком на 15 календарных дней.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Замечания по результатам общественного обсуждения проекта приказа не поступили.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30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  <w:b/>
          <w:bCs/>
        </w:rPr>
        <w:t xml:space="preserve">Сведения о предварительном обсуждении на заседаниях общественного совета при федеральном органе исполнительной власти с приложением копии заключения соответствующего общественного совета или об отсутствии основания для проведения такого обсуждения.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Предвари</w:t>
      </w:r>
      <w:r>
        <w:rPr>
          <w:rFonts w:ascii="Times New Roman" w:hAnsi="Times New Roman" w:cs="Times New Roman"/>
        </w:rPr>
        <w:t xml:space="preserve">тельное обсуждение приказа на заседаниях Общественного совета при Федеральной пробирной палате не проводилось, поскольку он не включен в состав нормативных правовых актов и иных документов, включая программные, разрабатываемых федеральными органами исполни</w:t>
      </w:r>
      <w:r>
        <w:rPr>
          <w:rFonts w:ascii="Times New Roman" w:hAnsi="Times New Roman" w:cs="Times New Roman"/>
        </w:rPr>
        <w:t xml:space="preserve">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власти, утвержденный постановлением Правительства Российской Федерации от 1 сентября 2012 г. № 877.</w:t>
      </w:r>
      <w:r>
        <w:rPr>
          <w:rFonts w:ascii="Times New Roman" w:hAnsi="Times New Roman" w:cs="Times New Roman"/>
        </w:rPr>
      </w:r>
    </w:p>
    <w:p>
      <w:pPr>
        <w:pStyle w:val="659"/>
        <w:numPr>
          <w:ilvl w:val="0"/>
          <w:numId w:val="3"/>
        </w:numPr>
        <w:ind w:firstLine="580"/>
        <w:jc w:val="both"/>
        <w:spacing w:after="0"/>
        <w:tabs>
          <w:tab w:val="left" w:pos="1430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</w:r>
      <w:bookmarkStart w:id="2" w:name="bookmark4"/>
      <w:r>
        <w:rPr>
          <w:rFonts w:ascii="Times New Roman" w:hAnsi="Times New Roman" w:cs="Times New Roman"/>
        </w:rPr>
        <w:t xml:space="preserve">Сведения о результатах проведения педагогической экспертизы нормативного правового акта (в случае ее проведения).</w:t>
      </w:r>
      <w:bookmarkEnd w:id="2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Проведение педагогической экспертизы в отношении проекта приказа не требовалось.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30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  <w:b/>
          <w:bCs/>
        </w:rPr>
        <w:t xml:space="preserve">Сведения о проведении согласительного совещания в случае наличия разногласий по проекту нормативного правового акта, выявленных по результатам проведения оценки регулирующего воздействия, с приложением копии протокола согласительного совещания.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Согласительные совещания по проекту приказа не проводились.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30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  <w:b/>
          <w:bCs/>
        </w:rPr>
        <w:t xml:space="preserve">Сведения о результатах обязательной метрологической экспертизы требований к измерениям, стандартным образцам и средствам измерений, содержащихся в проектах нормативных правовых актов Российской Федерации.</w:t>
      </w:r>
      <w:r>
        <w:rPr>
          <w:rFonts w:ascii="Times New Roman" w:hAnsi="Times New Roman" w:cs="Times New Roman"/>
        </w:rPr>
      </w:r>
    </w:p>
    <w:p>
      <w:pPr>
        <w:pStyle w:val="656"/>
        <w:ind w:firstLine="580"/>
        <w:jc w:val="both"/>
        <w:spacing w:line="240" w:lineRule="auto"/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</w:rPr>
        <w:t xml:space="preserve">Обязательная метрологическая экспертиза проекта приказа не проводилась в связи с отсутствием в нем требований к измерениям, стандартным образцам и средствам измерений.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80"/>
        <w:jc w:val="both"/>
        <w:spacing w:line="240" w:lineRule="auto"/>
        <w:tabs>
          <w:tab w:val="left" w:pos="1430" w:leader="none"/>
        </w:tabs>
        <w:rPr>
          <w:rFonts w:ascii="Times New Roman" w:hAnsi="Times New Roman" w:cs="Times New Roman"/>
        </w:rPr>
        <w:framePr w:w="9792" w:h="14462" w:wrap="none" w:vAnchor="page" w:hAnchor="page" w:x="1580" w:y="1335" w:hRule="exact"/>
      </w:pPr>
      <w:r>
        <w:rPr>
          <w:rFonts w:ascii="Times New Roman" w:hAnsi="Times New Roman" w:cs="Times New Roman"/>
          <w:b/>
          <w:bCs/>
        </w:rPr>
        <w:t xml:space="preserve">Сведения о результатах экспертизы, проводимой Министерством экономического развития Российской Федерации, и о проведении согласительного совещания в случае наличия разногласий по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="1126" w:wrap="none" w:vAnchor="page" w:hAnchor="page" w:x="6395" w:y="922"/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</w:r>
    </w:p>
    <w:p>
      <w:pPr>
        <w:pStyle w:val="659"/>
        <w:jc w:val="both"/>
        <w:spacing w:after="0"/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</w:rPr>
      </w:r>
      <w:bookmarkStart w:id="3" w:name="bookmark6"/>
      <w:r>
        <w:rPr>
          <w:rFonts w:ascii="Times New Roman" w:hAnsi="Times New Roman" w:cs="Times New Roman"/>
        </w:rPr>
        <w:t xml:space="preserve">проекту нормативного правового акта (с приложением оригинала протокола согласительного совещания и оригинала заключения).</w:t>
      </w:r>
      <w:bookmarkEnd w:id="3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6"/>
        <w:ind w:firstLine="560"/>
        <w:jc w:val="both"/>
        <w:spacing w:line="240" w:lineRule="auto"/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</w:rPr>
        <w:t xml:space="preserve">По проекту приказа не требуется проведение экспертизы Минэкономразвития России.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60"/>
        <w:jc w:val="both"/>
        <w:spacing w:line="240" w:lineRule="auto"/>
        <w:tabs>
          <w:tab w:val="left" w:pos="1390" w:leader="none"/>
        </w:tabs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  <w:b/>
          <w:bCs/>
        </w:rPr>
        <w:t xml:space="preserve">Сведения о том, что расходные обязательства публично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правовых образований, возникшие на основании нормативного правового акта, будут исполняться в пределах соответствующих бюджетных ассигнований, предусмотренных в соответствующем бюджете бюджетной сист</w:t>
      </w:r>
      <w:r>
        <w:rPr>
          <w:rFonts w:ascii="Times New Roman" w:hAnsi="Times New Roman" w:cs="Times New Roman"/>
          <w:b/>
          <w:bCs/>
        </w:rPr>
        <w:t xml:space="preserve">емы Российской Федерации, и их увеличение не потребуется, либо сведения о наличии заключения Министерства финансов Российской Федерации, в котором дается оценка финансовых последствий принятия соответствующих решений, с приложением копии такого заключения.</w:t>
      </w:r>
      <w:r>
        <w:rPr>
          <w:rFonts w:ascii="Times New Roman" w:hAnsi="Times New Roman" w:cs="Times New Roman"/>
        </w:rPr>
      </w:r>
    </w:p>
    <w:p>
      <w:pPr>
        <w:pStyle w:val="656"/>
        <w:ind w:firstLine="560"/>
        <w:jc w:val="both"/>
        <w:spacing w:line="240" w:lineRule="auto"/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</w:rPr>
        <w:t xml:space="preserve">Проект приказа не содержит расходных обязательств </w:t>
      </w:r>
      <w:r>
        <w:rPr>
          <w:rFonts w:ascii="Times New Roman" w:hAnsi="Times New Roman" w:cs="Times New Roman"/>
        </w:rPr>
        <w:t xml:space="preserve">публично-правовых образований</w:t>
      </w:r>
      <w:r>
        <w:rPr>
          <w:rFonts w:ascii="Times New Roman" w:hAnsi="Times New Roman" w:cs="Times New Roman"/>
        </w:rPr>
        <w:t xml:space="preserve"> и его реализация не повлечет увеличения бюджетных ассигнований в соответствующем бюджете бюджетной системы Российской Федерации.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3"/>
        </w:numPr>
        <w:ind w:firstLine="560"/>
        <w:jc w:val="both"/>
        <w:spacing w:line="240" w:lineRule="auto"/>
        <w:tabs>
          <w:tab w:val="left" w:pos="1390" w:leader="none"/>
        </w:tabs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  <w:b/>
          <w:bCs/>
        </w:rPr>
        <w:t xml:space="preserve">Сведения о лицах, ответственных за прохождение государственн</w:t>
      </w:r>
      <w:r>
        <w:rPr>
          <w:rFonts w:ascii="Times New Roman" w:hAnsi="Times New Roman" w:cs="Times New Roman"/>
          <w:b/>
          <w:bCs/>
        </w:rPr>
        <w:t xml:space="preserve">ой регистрации нормативного правого акта в Министерстве юстиции Российской Федерации, в том числе об ответственном исполнителе по данному нормативному правовому акту (фамилия, имя, отчество (при наличии), должность, телефоны для связи (рабочий, мобильный).</w:t>
      </w:r>
      <w:r>
        <w:rPr>
          <w:rFonts w:ascii="Times New Roman" w:hAnsi="Times New Roman" w:cs="Times New Roman"/>
        </w:rPr>
      </w:r>
    </w:p>
    <w:p>
      <w:pPr>
        <w:pStyle w:val="656"/>
        <w:ind w:firstLine="560"/>
        <w:jc w:val="both"/>
        <w:spacing w:line="240" w:lineRule="auto"/>
        <w:rPr>
          <w:rFonts w:ascii="Times New Roman" w:hAnsi="Times New Roman" w:cs="Times New Roman"/>
        </w:rPr>
        <w:framePr w:w="9782" w:h="8674" w:wrap="none" w:vAnchor="page" w:hAnchor="page" w:x="1585" w:y="1350" w:hRule="exact"/>
      </w:pPr>
      <w:r>
        <w:rPr>
          <w:rFonts w:ascii="Times New Roman" w:hAnsi="Times New Roman" w:cs="Times New Roman"/>
        </w:rPr>
        <w:t xml:space="preserve">Ответственным лицом от Федеральной пробирной палаты за прохождение государственной регистрации приказа в Министерстве юстиции Российской Федерации является (телефон для связи:), ответственным исполнителем по приказу является (телефон для связи:).</w:t>
      </w:r>
      <w:r>
        <w:rPr>
          <w:rFonts w:ascii="Times New Roman" w:hAnsi="Times New Roman" w:cs="Times New Roman"/>
        </w:rPr>
      </w:r>
    </w:p>
    <w:p>
      <w:pPr>
        <w:pStyle w:val="656"/>
        <w:ind w:left="10" w:firstLine="0"/>
        <w:spacing w:line="240" w:lineRule="auto"/>
        <w:rPr>
          <w:rFonts w:ascii="Times New Roman" w:hAnsi="Times New Roman" w:cs="Times New Roman"/>
        </w:rPr>
        <w:framePr w:w="9782" w:h="1315" w:wrap="none" w:vAnchor="page" w:hAnchor="page" w:x="1585" w:y="10748" w:hRule="exact"/>
      </w:pPr>
      <w:r>
        <w:rPr>
          <w:rFonts w:ascii="Times New Roman" w:hAnsi="Times New Roman" w:cs="Times New Roman"/>
        </w:rPr>
        <w:t xml:space="preserve">Начальник Управления государственной</w:t>
      </w:r>
      <w:r>
        <w:rPr>
          <w:rFonts w:ascii="Times New Roman" w:hAnsi="Times New Roman" w:cs="Times New Roman"/>
        </w:rPr>
        <w:br/>
        <w:t xml:space="preserve">службы, правового обеспечения и методологии</w:t>
      </w:r>
      <w:r>
        <w:rPr>
          <w:rFonts w:ascii="Times New Roman" w:hAnsi="Times New Roman" w:cs="Times New Roman"/>
        </w:rPr>
        <w:br/>
        <w:t xml:space="preserve">государственного контроля (надзора)</w:t>
      </w:r>
      <w:r>
        <w:rPr>
          <w:rFonts w:ascii="Times New Roman" w:hAnsi="Times New Roman" w:cs="Times New Roman"/>
        </w:rPr>
        <w:br/>
        <w:t xml:space="preserve">Федеральной пробирной палаты</w:t>
      </w:r>
      <w:r>
        <w:rPr>
          <w:rFonts w:ascii="Times New Roman" w:hAnsi="Times New Roman" w:cs="Times New Roman"/>
        </w:rPr>
      </w:r>
    </w:p>
    <w:p>
      <w:pPr>
        <w:pStyle w:val="656"/>
        <w:ind w:right="9" w:firstLine="0"/>
        <w:jc w:val="right"/>
        <w:spacing w:line="240" w:lineRule="auto"/>
        <w:rPr>
          <w:rFonts w:ascii="Times New Roman" w:hAnsi="Times New Roman" w:cs="Times New Roman"/>
        </w:rPr>
        <w:framePr w:w="1805" w:h="341" w:wrap="none" w:vAnchor="page" w:hAnchor="page" w:x="9481" w:y="11583" w:hRule="exact"/>
      </w:pPr>
      <w:r>
        <w:rPr>
          <w:rFonts w:ascii="Times New Roman" w:hAnsi="Times New Roman" w:cs="Times New Roman"/>
        </w:rPr>
        <w:t xml:space="preserve">К.С. Пестова»;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20"/>
        <w:jc w:val="both"/>
        <w:tabs>
          <w:tab w:val="left" w:pos="1390" w:leader="none"/>
        </w:tabs>
        <w:rPr>
          <w:rFonts w:ascii="Times New Roman" w:hAnsi="Times New Roman" w:cs="Times New Roman"/>
        </w:rPr>
        <w:framePr w:w="9782" w:h="2914" w:wrap="none" w:vAnchor="page" w:hAnchor="page" w:x="1585" w:y="12351" w:hRule="exact"/>
      </w:pPr>
      <w:r>
        <w:rPr>
          <w:rFonts w:ascii="Times New Roman" w:hAnsi="Times New Roman" w:cs="Times New Roman"/>
        </w:rPr>
        <w:t xml:space="preserve">в приложении №11: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2" w:h="2914" w:wrap="none" w:vAnchor="page" w:hAnchor="page" w:x="1585" w:y="12351" w:hRule="exact"/>
      </w:pPr>
      <w:r>
        <w:rPr>
          <w:rFonts w:ascii="Times New Roman" w:hAnsi="Times New Roman" w:cs="Times New Roman"/>
        </w:rPr>
        <w:t xml:space="preserve">в абзаце одиннадцатом пункта 5 слово «государственного» исключить;</w:t>
      </w:r>
      <w:r>
        <w:rPr>
          <w:rFonts w:ascii="Times New Roman" w:hAnsi="Times New Roman" w:cs="Times New Roman"/>
        </w:rPr>
      </w:r>
    </w:p>
    <w:p>
      <w:pPr>
        <w:pStyle w:val="656"/>
        <w:ind w:firstLine="720"/>
        <w:jc w:val="both"/>
        <w:rPr>
          <w:rFonts w:ascii="Times New Roman" w:hAnsi="Times New Roman" w:cs="Times New Roman"/>
        </w:rPr>
        <w:framePr w:w="9782" w:h="2914" w:wrap="none" w:vAnchor="page" w:hAnchor="page" w:x="1585" w:y="12351" w:hRule="exact"/>
      </w:pPr>
      <w:r>
        <w:rPr>
          <w:rFonts w:ascii="Times New Roman" w:hAnsi="Times New Roman" w:cs="Times New Roman"/>
        </w:rPr>
        <w:t xml:space="preserve">в абзаце седьмом пункта 6 слова «Управления правового обеспечения и государственной службы» заменить словами «Управление государственной службы, правового обеспечения и методологии государственного контроля (надзора)»;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97" w:y="942"/>
      </w:pP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378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абзац двадцать первый приложения № 12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«В графе 4 указывается </w:t>
      </w:r>
      <w:r>
        <w:rPr>
          <w:rFonts w:ascii="Times New Roman" w:hAnsi="Times New Roman" w:cs="Times New Roman"/>
        </w:rPr>
        <w:t xml:space="preserve">срок хранения дела в соответствии с номерами статей по Перечню документов, образующихся в процессе деятельности Федеральной пробирной палаты и ее территориальных органов, с указанием сроков хранения, утвержденному приказом ФПП от 6 октября 2022 г. № 152.»;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1"/>
        </w:numPr>
        <w:ind w:firstLine="700"/>
        <w:jc w:val="both"/>
        <w:tabs>
          <w:tab w:val="left" w:pos="1368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пункт 2 приложения № 13 изложить в следующей редакции:</w:t>
      </w:r>
      <w:r>
        <w:rPr>
          <w:rFonts w:ascii="Times New Roman" w:hAnsi="Times New Roman" w:cs="Times New Roman"/>
        </w:rPr>
      </w:r>
    </w:p>
    <w:p>
      <w:pPr>
        <w:pStyle w:val="656"/>
        <w:ind w:firstLine="700"/>
        <w:jc w:val="both"/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«2. При формировании дел в структурных подразделениях ФПП необходимо учитывать следующие особенности, характерные для отдельных категорий документов: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Правовые акты, распорядительные документы группируются в дела по видам и хронологии с относящимися к ним приложениями. Документы - основания к распорядительным документам включаются в отдельное дело.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Протоколы в деле располагаются в хронологическом порядке и по номерам.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Документы к заседаниям, совещаниям (проекты решений, спр</w:t>
      </w:r>
      <w:r>
        <w:rPr>
          <w:rFonts w:ascii="Times New Roman" w:hAnsi="Times New Roman" w:cs="Times New Roman"/>
        </w:rPr>
        <w:t xml:space="preserve">авки, тезисы выступлений и др., не являющиеся приложениями к протоколам) группируются в отдельное дело (такие документы к протоколам, если они сгруппированы в отдельное дело (дела), систематизируются внутри дела по хронологии и порядку номеров протоколов).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Нормативные акты, утвержденные распорядительными документами, являются приложениями к ним и включаются в дело вместе с указанными документами (многостраничные приложения объемом 100 и более страниц могут выделяться в отдельный том дела).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Приказы по основной деятельности группируются отдельно от приказов по личному составу и приказов по административно-хозяйственной деятельности.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274" w:leader="none"/>
        </w:tabs>
        <w:rPr>
          <w:rFonts w:ascii="Times New Roman" w:hAnsi="Times New Roman" w:cs="Times New Roman"/>
        </w:rPr>
        <w:framePr w:w="9787" w:h="14453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Приказы по личному составу формируются в дела в соответствии со сроками хранения (например, приказы о приеме, перемещении, увольнении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63" w:y="927"/>
      </w:pPr>
      <w:r>
        <w:rPr>
          <w:rFonts w:ascii="Times New Roman" w:hAnsi="Times New Roman" w:cs="Times New Roman"/>
        </w:rPr>
        <w:t xml:space="preserve">10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both"/>
        <w:spacing w:line="350" w:lineRule="auto"/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работников формируются отдельно от приказов по другим вопросам (отпуска, командировки и так далее).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spacing w:line="350" w:lineRule="auto"/>
        <w:tabs>
          <w:tab w:val="left" w:pos="1963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Документы коллегии ФПП группируются в два дела: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5"/>
        </w:numPr>
        <w:ind w:firstLine="720"/>
        <w:jc w:val="both"/>
        <w:spacing w:line="350" w:lineRule="auto"/>
        <w:tabs>
          <w:tab w:val="left" w:pos="936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протоколы коллегии ФПП (располагаются в деле в хронологическом порядке по номерам);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0"/>
          <w:numId w:val="5"/>
        </w:numPr>
        <w:ind w:firstLine="720"/>
        <w:jc w:val="both"/>
        <w:tabs>
          <w:tab w:val="left" w:pos="936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документы к заседаниям коллегии ФПП (документы к заседаниям группируются в отдельное дело так же, как и приложения к протоколам, если они содержат более 25 страниц).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244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Положения, уставы, инструкции, утвержденные распорядительными документами, являются приложениями к ним и группируются вместе с указанными документами.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243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Ведение личных дел государственн</w:t>
      </w:r>
      <w:r>
        <w:rPr>
          <w:rFonts w:ascii="Times New Roman" w:hAnsi="Times New Roman" w:cs="Times New Roman"/>
        </w:rPr>
        <w:t xml:space="preserve">ых гражданских служащих осуществляется в соответствии с Указом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374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Документы в личных делах располагаются в хронологическом порядке по мере их поступления.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374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Планы, отчеты, сметы группируются отдельно от расчетов к ним; планы и отчеты группируются в дела того года, к ко</w:t>
      </w:r>
      <w:r>
        <w:rPr>
          <w:rFonts w:ascii="Times New Roman" w:hAnsi="Times New Roman" w:cs="Times New Roman"/>
        </w:rPr>
        <w:t xml:space="preserve">торому они относятся по своему содержанию, независимо от времени их составления; планы, рассчитанные на несколько лет, формируются в дела по начальному году их действия; отчеты о выполнении таких планов формируются в дела по последнему году действия плана.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374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Переписка группируется в дела по тематике и/или по корреспондентам и систематизируется в хронологической последовательности.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20"/>
        <w:jc w:val="both"/>
        <w:tabs>
          <w:tab w:val="left" w:pos="1369" w:leader="none"/>
        </w:tabs>
        <w:rPr>
          <w:rFonts w:ascii="Times New Roman" w:hAnsi="Times New Roman" w:cs="Times New Roman"/>
        </w:rPr>
        <w:framePr w:w="9787" w:h="13963" w:wrap="none" w:vAnchor="page" w:hAnchor="page" w:x="1583" w:y="1350" w:hRule="exact"/>
      </w:pPr>
      <w:r>
        <w:rPr>
          <w:rFonts w:ascii="Times New Roman" w:hAnsi="Times New Roman" w:cs="Times New Roman"/>
        </w:rPr>
        <w:t xml:space="preserve">Лицевые счета по заработной плате работников группируются в отдельные дела и располагаются в них по алфавиту фамилий, имен и отчеств (при наличии).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  <w:sectPr>
          <w:footnotePr/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1"/>
        <w:rPr>
          <w:rFonts w:ascii="Times New Roman" w:hAnsi="Times New Roman" w:cs="Times New Roman"/>
        </w:rPr>
        <w:framePr w:wrap="none" w:vAnchor="page" w:hAnchor="page" w:x="6363" w:y="932"/>
      </w:pPr>
      <w:r>
        <w:rPr>
          <w:rFonts w:ascii="Times New Roman" w:hAnsi="Times New Roman" w:cs="Times New Roman"/>
        </w:rPr>
        <w:t xml:space="preserve">11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378" w:leader="none"/>
        </w:tabs>
        <w:rPr>
          <w:rFonts w:ascii="Times New Roman" w:hAnsi="Times New Roman" w:cs="Times New Roman"/>
        </w:rPr>
        <w:framePr w:w="9787" w:h="9149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Обращения (предложения, заявления и жалобы) граждан и организаций по вопросам работы ФПП, ее структурных подразделений и МРУ и все документы по их рассмотрению и исполнению группируются отдельно от заявлений граждан по личным вопросам.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374" w:leader="none"/>
        </w:tabs>
        <w:rPr>
          <w:rFonts w:ascii="Times New Roman" w:hAnsi="Times New Roman" w:cs="Times New Roman"/>
        </w:rPr>
        <w:framePr w:w="9787" w:h="9149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Электро</w:t>
      </w:r>
      <w:r>
        <w:rPr>
          <w:rFonts w:ascii="Times New Roman" w:hAnsi="Times New Roman" w:cs="Times New Roman"/>
        </w:rPr>
        <w:t xml:space="preserve">нные документы формируются в электронные дела в соответствии с номенклатурой дел; в номенклатуре дел указывается, что дело ведется в электронной форме. Отметка о том, что дело ведется в электронном виде, проставляется в графе «Примечание» номенклатуры дел.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369" w:leader="none"/>
        </w:tabs>
        <w:rPr>
          <w:rFonts w:ascii="Times New Roman" w:hAnsi="Times New Roman" w:cs="Times New Roman"/>
        </w:rPr>
        <w:framePr w:w="9787" w:h="9149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Электронные документы после их исполнения или отправки подлежат хранению в ЕСЭД в течение сроков, предусмотренных для аналогичных документов на бумажном носителе.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369" w:leader="none"/>
        </w:tabs>
        <w:rPr>
          <w:rFonts w:ascii="Times New Roman" w:hAnsi="Times New Roman" w:cs="Times New Roman"/>
        </w:rPr>
        <w:framePr w:w="9787" w:h="9149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Электронные документы независимо от их объема включаются в одно электронное дело без разделения на тома.</w:t>
      </w:r>
      <w:r>
        <w:rPr>
          <w:rFonts w:ascii="Times New Roman" w:hAnsi="Times New Roman" w:cs="Times New Roman"/>
        </w:rPr>
      </w:r>
    </w:p>
    <w:p>
      <w:pPr>
        <w:pStyle w:val="656"/>
        <w:numPr>
          <w:ilvl w:val="1"/>
          <w:numId w:val="4"/>
        </w:numPr>
        <w:ind w:firstLine="700"/>
        <w:jc w:val="both"/>
        <w:tabs>
          <w:tab w:val="left" w:pos="1378" w:leader="none"/>
        </w:tabs>
        <w:rPr>
          <w:rFonts w:ascii="Times New Roman" w:hAnsi="Times New Roman" w:cs="Times New Roman"/>
        </w:rPr>
        <w:framePr w:w="9787" w:h="9149" w:wrap="none" w:vAnchor="page" w:hAnchor="page" w:x="1583" w:y="1359" w:hRule="exact"/>
      </w:pPr>
      <w:r>
        <w:rPr>
          <w:rFonts w:ascii="Times New Roman" w:hAnsi="Times New Roman" w:cs="Times New Roman"/>
        </w:rPr>
        <w:t xml:space="preserve">В случае если документы дела представлены на бумажном носителе и в форме электронных документов, документы на бумажном носителе подлежат оцифровке и включен</w:t>
      </w:r>
      <w:r>
        <w:rPr>
          <w:rFonts w:ascii="Times New Roman" w:hAnsi="Times New Roman" w:cs="Times New Roman"/>
        </w:rPr>
        <w:t xml:space="preserve">ию в электронное дело. В дело, которое ведется на бумажном носителе, включаются только документы, созданные (поступившие) на бумажном носителе. В номенклатуре дел электронное дело и дело на бумажном носителе отражаются как два тома, имеющие один заголовок,</w:t>
      </w:r>
      <w:r>
        <w:rPr>
          <w:rFonts w:ascii="Times New Roman" w:hAnsi="Times New Roman" w:cs="Times New Roman"/>
        </w:rPr>
      </w:r>
    </w:p>
    <w:p>
      <w:pPr>
        <w:pStyle w:val="656"/>
        <w:ind w:firstLine="0"/>
        <w:jc w:val="both"/>
        <w:spacing w:line="240" w:lineRule="auto"/>
        <w:rPr>
          <w:rFonts w:ascii="Times New Roman" w:hAnsi="Times New Roman" w:cs="Times New Roman"/>
        </w:rPr>
        <w:framePr w:wrap="none" w:vAnchor="page" w:hAnchor="page" w:x="1583" w:y="10513"/>
      </w:pPr>
      <w:r>
        <w:rPr>
          <w:rFonts w:ascii="Times New Roman" w:hAnsi="Times New Roman" w:cs="Times New Roman"/>
        </w:rPr>
        <w:t xml:space="preserve">индекс и срок хранения.».</w:t>
      </w:r>
      <w:r>
        <w:rPr>
          <w:rFonts w:ascii="Times New Roman" w:hAnsi="Times New Roman" w:cs="Times New Roman"/>
        </w:rPr>
      </w:r>
    </w:p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0" w:h="16840" w:orient="portrait"/>
      <w:pgMar w:top="360" w:right="360" w:bottom="360" w:left="360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Book Antiqua">
    <w:panose1 w:val="0204060205030503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4"/>
    <w:next w:val="64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4"/>
    <w:next w:val="64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4"/>
    <w:next w:val="64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4"/>
    <w:next w:val="64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4"/>
    <w:next w:val="64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4"/>
    <w:next w:val="64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4"/>
    <w:next w:val="64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4"/>
    <w:next w:val="64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4"/>
    <w:next w:val="64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4"/>
    <w:next w:val="64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5"/>
    <w:link w:val="33"/>
    <w:uiPriority w:val="10"/>
    <w:rPr>
      <w:sz w:val="48"/>
      <w:szCs w:val="48"/>
    </w:rPr>
  </w:style>
  <w:style w:type="paragraph" w:styleId="35">
    <w:name w:val="Subtitle"/>
    <w:basedOn w:val="644"/>
    <w:next w:val="64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5"/>
    <w:link w:val="35"/>
    <w:uiPriority w:val="11"/>
    <w:rPr>
      <w:sz w:val="24"/>
      <w:szCs w:val="24"/>
    </w:rPr>
  </w:style>
  <w:style w:type="paragraph" w:styleId="37">
    <w:name w:val="Quote"/>
    <w:basedOn w:val="644"/>
    <w:next w:val="64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4"/>
    <w:next w:val="64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5"/>
    <w:link w:val="41"/>
    <w:uiPriority w:val="99"/>
  </w:style>
  <w:style w:type="paragraph" w:styleId="43">
    <w:name w:val="Footer"/>
    <w:basedOn w:val="64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5"/>
    <w:link w:val="43"/>
    <w:uiPriority w:val="99"/>
  </w:style>
  <w:style w:type="paragraph" w:styleId="45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5"/>
    <w:uiPriority w:val="99"/>
    <w:unhideWhenUsed/>
    <w:rPr>
      <w:vertAlign w:val="superscript"/>
    </w:rPr>
  </w:style>
  <w:style w:type="paragraph" w:styleId="177">
    <w:name w:val="endnote text"/>
    <w:basedOn w:val="64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5"/>
    <w:uiPriority w:val="99"/>
    <w:semiHidden/>
    <w:unhideWhenUsed/>
    <w:rPr>
      <w:vertAlign w:val="superscript"/>
    </w:rPr>
  </w:style>
  <w:style w:type="paragraph" w:styleId="180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rPr>
      <w:color w:val="000000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Основной текст (2)_"/>
    <w:basedOn w:val="645"/>
    <w:link w:val="655"/>
    <w:rPr>
      <w:rFonts w:ascii="Book Antiqua" w:hAnsi="Book Antiqua" w:eastAsia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49" w:customStyle="1">
    <w:name w:val="Основной текст_"/>
    <w:basedOn w:val="645"/>
    <w:link w:val="6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50" w:customStyle="1">
    <w:name w:val="Другое_"/>
    <w:basedOn w:val="645"/>
    <w:link w:val="6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51" w:customStyle="1">
    <w:name w:val="Основной текст (3)_"/>
    <w:basedOn w:val="645"/>
    <w:link w:val="6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652" w:customStyle="1">
    <w:name w:val="Заголовок №1_"/>
    <w:basedOn w:val="645"/>
    <w:link w:val="65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653" w:customStyle="1">
    <w:name w:val="Колонтитул (2)_"/>
    <w:basedOn w:val="645"/>
    <w:link w:val="66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654" w:customStyle="1">
    <w:name w:val="Колонтитул_"/>
    <w:basedOn w:val="645"/>
    <w:link w:val="66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655" w:customStyle="1">
    <w:name w:val="Основной текст (2)"/>
    <w:basedOn w:val="644"/>
    <w:link w:val="648"/>
    <w:pPr>
      <w:jc w:val="center"/>
      <w:spacing w:after="420"/>
    </w:pPr>
    <w:rPr>
      <w:rFonts w:ascii="Book Antiqua" w:hAnsi="Book Antiqua" w:eastAsia="Book Antiqua" w:cs="Book Antiqua"/>
      <w:b/>
      <w:bCs/>
      <w:sz w:val="26"/>
      <w:szCs w:val="26"/>
    </w:rPr>
  </w:style>
  <w:style w:type="paragraph" w:styleId="656" w:customStyle="1">
    <w:name w:val="Основной текст1"/>
    <w:basedOn w:val="644"/>
    <w:link w:val="649"/>
    <w:pPr>
      <w:ind w:firstLine="400"/>
      <w:spacing w:line="36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57" w:customStyle="1">
    <w:name w:val="Другое"/>
    <w:basedOn w:val="644"/>
    <w:link w:val="650"/>
    <w:pPr>
      <w:ind w:firstLine="400"/>
      <w:spacing w:line="36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58" w:customStyle="1">
    <w:name w:val="Основной текст (3)"/>
    <w:basedOn w:val="644"/>
    <w:link w:val="651"/>
    <w:pPr>
      <w:jc w:val="center"/>
      <w:spacing w:after="520"/>
    </w:pPr>
    <w:rPr>
      <w:rFonts w:ascii="Times New Roman" w:hAnsi="Times New Roman" w:eastAsia="Times New Roman" w:cs="Times New Roman"/>
      <w:sz w:val="20"/>
      <w:szCs w:val="20"/>
    </w:rPr>
  </w:style>
  <w:style w:type="paragraph" w:styleId="659" w:customStyle="1">
    <w:name w:val="Заголовок №1"/>
    <w:basedOn w:val="644"/>
    <w:link w:val="652"/>
    <w:pPr>
      <w:spacing w:after="7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60" w:customStyle="1">
    <w:name w:val="Колонтитул (2)"/>
    <w:basedOn w:val="644"/>
    <w:link w:val="653"/>
    <w:rPr>
      <w:rFonts w:ascii="Times New Roman" w:hAnsi="Times New Roman" w:eastAsia="Times New Roman" w:cs="Times New Roman"/>
      <w:sz w:val="20"/>
      <w:szCs w:val="20"/>
    </w:rPr>
  </w:style>
  <w:style w:type="paragraph" w:styleId="661" w:customStyle="1">
    <w:name w:val="Колонтитул"/>
    <w:basedOn w:val="644"/>
    <w:link w:val="654"/>
    <w:rPr>
      <w:rFonts w:ascii="Times New Roman" w:hAnsi="Times New Roman" w:eastAsia="Times New Roman" w:cs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regulation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2022-12-26T12:06:00Z</dcterms:created>
  <dcterms:modified xsi:type="dcterms:W3CDTF">2022-12-26T13:02:14Z</dcterms:modified>
</cp:coreProperties>
</file>