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-13888</wp:posOffset>
                </wp:positionH>
                <wp:positionV relativeFrom="paragraph">
                  <wp:posOffset>41910</wp:posOffset>
                </wp:positionV>
                <wp:extent cx="6429375" cy="2072114"/>
                <wp:effectExtent l="6350" t="6350" r="6350" b="6350"/>
                <wp:wrapNone/>
                <wp:docPr id="1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rcRect l="9183" t="8048" r="6091" b="28742"/>
                        <a:stretch/>
                      </pic:blipFill>
                      <pic:spPr bwMode="auto">
                        <a:xfrm flipH="0" flipV="0">
                          <a:off x="0" y="0"/>
                          <a:ext cx="6429375" cy="2072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9776;o:allowoverlap:true;o:allowincell:true;mso-position-horizontal-relative:text;margin-left:-1.1pt;mso-position-horizontal:absolute;mso-position-vertical-relative:text;margin-top:3.3pt;mso-position-vertical:absolute;width:506.2pt;height:163.2pt;mso-wrap-distance-left:9.0pt;mso-wrap-distance-top:0.0pt;mso-wrap-distance-right:9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8"/>
          <w:szCs w:val="36"/>
        </w:rPr>
      </w:pPr>
      <w:r>
        <w:rPr>
          <w:b/>
          <w:bCs/>
          <w:color w:val="000000" w:themeColor="text1"/>
          <w:sz w:val="28"/>
          <w:szCs w:val="36"/>
        </w:rPr>
        <w:t xml:space="preserve">27.10.2022                                                                                                         № 165н</w:t>
      </w:r>
      <w:r>
        <w:rPr>
          <w:color w:val="000000" w:themeColor="text1"/>
          <w:sz w:val="28"/>
          <w:szCs w:val="36"/>
        </w:rPr>
      </w:r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  <w:t xml:space="preserve">Москва</w:t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color w:val="000000" w:themeColor="text1"/>
          <w:sz w:val="22"/>
          <w:szCs w:val="28"/>
        </w:rPr>
      </w:pPr>
      <w:r>
        <w:rPr>
          <w:color w:val="000000" w:themeColor="text1"/>
          <w:sz w:val="22"/>
          <w:szCs w:val="28"/>
        </w:rPr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bCs/>
          <w:color w:val="000000" w:themeColor="text1"/>
          <w:sz w:val="28"/>
          <w:szCs w:val="28"/>
          <w:lang w:eastAsia="ru-RU"/>
        </w:rPr>
        <w:t xml:space="preserve">Об утверждении административного регламента</w:t>
      </w:r>
      <w:r/>
    </w:p>
    <w:p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 xml:space="preserve">Федеральной пробирной палаты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 по предоста</w:t>
      </w:r>
      <w:r>
        <w:rPr>
          <w:b/>
          <w:bCs/>
          <w:color w:val="000000" w:themeColor="text1"/>
          <w:sz w:val="28"/>
          <w:szCs w:val="28"/>
          <w:lang w:eastAsia="ru-RU"/>
        </w:rPr>
        <w:t xml:space="preserve">влению государственной услуги </w:t>
      </w:r>
      <w:r>
        <w:rPr>
          <w:b/>
          <w:bCs/>
          <w:color w:val="000000" w:themeColor="text1"/>
          <w:sz w:val="28"/>
          <w:szCs w:val="28"/>
          <w:lang w:eastAsia="ru-RU"/>
        </w:rPr>
        <w:br/>
        <w:t xml:space="preserve">по л</w:t>
      </w:r>
      <w:r>
        <w:rPr>
          <w:b/>
          <w:color w:val="000000" w:themeColor="text1"/>
          <w:sz w:val="28"/>
          <w:szCs w:val="28"/>
        </w:rPr>
        <w:t xml:space="preserve">ицензировани</w:t>
      </w:r>
      <w:r>
        <w:rPr>
          <w:b/>
          <w:color w:val="000000" w:themeColor="text1"/>
          <w:sz w:val="28"/>
          <w:szCs w:val="28"/>
        </w:rPr>
        <w:t xml:space="preserve">ю</w:t>
      </w:r>
      <w:r>
        <w:rPr>
          <w:b/>
          <w:color w:val="000000" w:themeColor="text1"/>
          <w:sz w:val="28"/>
          <w:szCs w:val="28"/>
        </w:rPr>
        <w:t xml:space="preserve">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</w:t>
      </w:r>
      <w:r>
        <w:rPr>
          <w:b/>
          <w:color w:val="000000" w:themeColor="text1"/>
          <w:sz w:val="28"/>
          <w:szCs w:val="28"/>
        </w:rPr>
        <w:br/>
        <w:t xml:space="preserve">и отходов драгоценных металлов, образовавшихся и собранных ими </w:t>
      </w:r>
      <w:r>
        <w:rPr>
          <w:b/>
          <w:color w:val="000000" w:themeColor="text1"/>
          <w:sz w:val="28"/>
          <w:szCs w:val="28"/>
        </w:rPr>
        <w:br/>
        <w:t xml:space="preserve">в процессе собственного производства, а также ювелирных и других изделий </w:t>
      </w:r>
      <w:r>
        <w:rPr>
          <w:b/>
          <w:color w:val="000000" w:themeColor="text1"/>
          <w:sz w:val="28"/>
          <w:szCs w:val="28"/>
        </w:rPr>
        <w:br/>
        <w:t xml:space="preserve">из драгоценных металлов собственного производства, нереализованных </w:t>
      </w:r>
      <w:r>
        <w:rPr>
          <w:b/>
          <w:color w:val="000000" w:themeColor="text1"/>
          <w:sz w:val="28"/>
          <w:szCs w:val="28"/>
        </w:rPr>
        <w:br/>
        <w:t xml:space="preserve">и возвращенных производителю)</w:t>
      </w:r>
      <w:r/>
    </w:p>
    <w:p>
      <w:pPr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line="34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15.1 Федерального закона от 26 марта 1998 г. </w:t>
      </w:r>
      <w:r>
        <w:rPr>
          <w:color w:val="000000" w:themeColor="text1"/>
          <w:sz w:val="28"/>
          <w:szCs w:val="28"/>
        </w:rPr>
        <w:br/>
        <w:t xml:space="preserve">№ 41-ФЗ «О драгоценных металлах и драгоценных камнях» (Собрание </w:t>
      </w:r>
      <w:r>
        <w:rPr>
          <w:color w:val="000000" w:themeColor="text1"/>
          <w:spacing w:val="-2"/>
          <w:sz w:val="28"/>
          <w:szCs w:val="28"/>
        </w:rPr>
        <w:t xml:space="preserve">законодательства Российской Федерации, 1998, № 13, ст. 1463; 2019, № 31, ст. 4441),</w:t>
      </w:r>
      <w:r>
        <w:rPr>
          <w:color w:val="000000" w:themeColor="text1"/>
          <w:sz w:val="28"/>
          <w:szCs w:val="28"/>
        </w:rPr>
        <w:t xml:space="preserve"> пунктом 56</w:t>
      </w:r>
      <w:r>
        <w:rPr>
          <w:color w:val="000000" w:themeColor="text1"/>
          <w:sz w:val="28"/>
          <w:szCs w:val="28"/>
        </w:rPr>
        <w:t xml:space="preserve"> части 1 статьи 12 Федерального закона от 4 мая 2011 г. № 99-ФЗ </w:t>
      </w:r>
      <w:r>
        <w:rPr>
          <w:color w:val="000000" w:themeColor="text1"/>
          <w:sz w:val="28"/>
          <w:szCs w:val="28"/>
        </w:rPr>
        <w:br/>
        <w:t xml:space="preserve">«О лицензировании отдельных видов деятельности» (Собрание законодательства </w:t>
      </w:r>
      <w:r>
        <w:rPr>
          <w:color w:val="000000" w:themeColor="text1"/>
          <w:spacing w:val="-4"/>
          <w:sz w:val="28"/>
          <w:szCs w:val="28"/>
        </w:rPr>
        <w:t xml:space="preserve">Российской Феде</w:t>
      </w:r>
      <w:r>
        <w:rPr>
          <w:color w:val="000000" w:themeColor="text1"/>
          <w:spacing w:val="-4"/>
          <w:sz w:val="28"/>
          <w:szCs w:val="28"/>
        </w:rPr>
        <w:t xml:space="preserve">рации, 2011, № 19, ст. 2716; 2019</w:t>
      </w:r>
      <w:r>
        <w:rPr>
          <w:color w:val="000000" w:themeColor="text1"/>
          <w:spacing w:val="-4"/>
          <w:sz w:val="28"/>
          <w:szCs w:val="28"/>
        </w:rPr>
        <w:t xml:space="preserve">, № </w:t>
      </w:r>
      <w:r>
        <w:rPr>
          <w:color w:val="000000" w:themeColor="text1"/>
          <w:spacing w:val="-4"/>
          <w:sz w:val="28"/>
          <w:szCs w:val="28"/>
        </w:rPr>
        <w:t xml:space="preserve">31, ст. 4441</w:t>
      </w:r>
      <w:r>
        <w:rPr>
          <w:color w:val="000000" w:themeColor="text1"/>
          <w:spacing w:val="-4"/>
          <w:sz w:val="28"/>
          <w:szCs w:val="28"/>
        </w:rPr>
        <w:t xml:space="preserve">), частью 1 статьи 13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Федерального закона от 27 июля 2010 г. № 210-ФЗ «Об организации предоставления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государственных и муниципальных услуг» (Собрание законодательства Российской</w:t>
      </w:r>
      <w:r>
        <w:rPr>
          <w:color w:val="000000" w:themeColor="text1"/>
          <w:sz w:val="28"/>
          <w:szCs w:val="28"/>
        </w:rPr>
        <w:t xml:space="preserve"> Федерации, 2010, № 31, ст. 4179; 2021, № 1, ст. 48), </w:t>
      </w:r>
      <w:r>
        <w:rPr>
          <w:spacing w:val="-6"/>
          <w:sz w:val="28"/>
          <w:szCs w:val="28"/>
        </w:rPr>
        <w:t xml:space="preserve">подпунктом 5.4 пункта 5 Положения о Федеральной пробирной</w:t>
      </w:r>
      <w:r>
        <w:rPr>
          <w:sz w:val="28"/>
          <w:szCs w:val="28"/>
        </w:rPr>
        <w:t xml:space="preserve"> палате, утвержденного постановлением Правительства Российской </w:t>
      </w:r>
      <w:r>
        <w:rPr>
          <w:sz w:val="28"/>
          <w:szCs w:val="28"/>
        </w:rPr>
        <w:t xml:space="preserve">Федерации от 20 марта 2020 г. № 307 (Собрание законодательства Российской Федерации</w:t>
      </w:r>
      <w:r>
        <w:rPr>
          <w:sz w:val="28"/>
          <w:szCs w:val="28"/>
        </w:rPr>
        <w:t xml:space="preserve">, 2020, № 13, ст. 1921), </w:t>
      </w:r>
      <w:r>
        <w:rPr>
          <w:color w:val="000000" w:themeColor="text1"/>
          <w:sz w:val="28"/>
          <w:szCs w:val="28"/>
        </w:rPr>
        <w:t xml:space="preserve">Положением о </w:t>
      </w:r>
      <w:r>
        <w:rPr>
          <w:color w:val="000000" w:themeColor="text1"/>
          <w:sz w:val="28"/>
          <w:szCs w:val="28"/>
        </w:rPr>
        <w:t xml:space="preserve">лицензировании деятельности по обработке (переработке) лома и отходов драгоценных металлов (за исключением деятельности по обработке (переработке) </w:t>
      </w:r>
      <w:r>
        <w:rPr>
          <w:color w:val="000000" w:themeColor="text1"/>
          <w:spacing w:val="-4"/>
          <w:sz w:val="28"/>
          <w:szCs w:val="28"/>
        </w:rPr>
        <w:t xml:space="preserve">организациями и индивидуальными предпринимателями лома и отходов драгоценных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 xml:space="preserve">металлов, образовавшихся и собранных ими в процессе собственного производства,</w:t>
      </w:r>
      <w:r>
        <w:rPr>
          <w:color w:val="000000" w:themeColor="text1"/>
          <w:sz w:val="28"/>
          <w:szCs w:val="28"/>
        </w:rPr>
        <w:t xml:space="preserve"> а также </w:t>
      </w:r>
      <w:r>
        <w:rPr>
          <w:color w:val="000000" w:themeColor="text1"/>
          <w:spacing w:val="-2"/>
          <w:sz w:val="28"/>
          <w:szCs w:val="28"/>
        </w:rPr>
        <w:t xml:space="preserve">ювелирных и других изделий из драгоценных металлов собственного производства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pacing w:val="-4"/>
          <w:sz w:val="28"/>
          <w:szCs w:val="28"/>
        </w:rPr>
        <w:t xml:space="preserve">нереализованных и возвращенн</w:t>
      </w:r>
      <w:r>
        <w:rPr>
          <w:color w:val="000000" w:themeColor="text1"/>
          <w:spacing w:val="-4"/>
          <w:sz w:val="28"/>
          <w:szCs w:val="28"/>
        </w:rPr>
        <w:t xml:space="preserve">ых производителю), утвержденным</w:t>
      </w:r>
      <w:r>
        <w:rPr>
          <w:color w:val="000000" w:themeColor="text1"/>
          <w:spacing w:val="-4"/>
          <w:sz w:val="28"/>
          <w:szCs w:val="28"/>
        </w:rPr>
        <w:t xml:space="preserve"> постановлением</w:t>
      </w:r>
      <w:r>
        <w:rPr>
          <w:color w:val="000000" w:themeColor="text1"/>
          <w:sz w:val="28"/>
          <w:szCs w:val="28"/>
        </w:rPr>
        <w:t xml:space="preserve"> Правительства Российской Федерации от 12 сентября 2020 г. №</w:t>
      </w:r>
      <w:r>
        <w:rPr>
          <w:color w:val="000000" w:themeColor="text1"/>
          <w:sz w:val="28"/>
          <w:szCs w:val="28"/>
        </w:rPr>
        <w:t xml:space="preserve"> </w:t>
      </w:r>
      <w:r>
        <w:rPr>
          <w:color w:val="000000" w:themeColor="text1"/>
          <w:sz w:val="28"/>
          <w:szCs w:val="28"/>
        </w:rPr>
        <w:t xml:space="preserve">1418</w:t>
      </w:r>
      <w:r>
        <w:rPr>
          <w:rStyle w:val="739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 xml:space="preserve"> (Собрание </w:t>
      </w:r>
      <w:r>
        <w:rPr>
          <w:color w:val="000000" w:themeColor="text1"/>
          <w:spacing w:val="-2"/>
          <w:sz w:val="28"/>
          <w:szCs w:val="28"/>
        </w:rPr>
        <w:t xml:space="preserve">законодательства Российской Федерации, 2020, № 38, ст. 5892; 2021, № 49, ст. 8261)</w:t>
      </w:r>
      <w:r>
        <w:rPr>
          <w:color w:val="000000" w:themeColor="text1"/>
          <w:spacing w:val="-2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пунктом 2 Правил разработки и утверждения административных регламентов </w:t>
      </w:r>
      <w:r>
        <w:rPr>
          <w:color w:val="000000" w:themeColor="text1"/>
          <w:spacing w:val="-4"/>
          <w:sz w:val="28"/>
          <w:szCs w:val="28"/>
        </w:rPr>
        <w:t xml:space="preserve">предоставления государственных услуг, </w:t>
      </w:r>
      <w:r>
        <w:rPr>
          <w:color w:val="000000" w:themeColor="text1"/>
          <w:spacing w:val="-10"/>
          <w:sz w:val="28"/>
          <w:szCs w:val="28"/>
        </w:rPr>
        <w:t xml:space="preserve">утвержденных постановлением Правительства Российской Федерации</w:t>
      </w:r>
      <w:r>
        <w:rPr>
          <w:color w:val="000000" w:themeColor="text1"/>
          <w:spacing w:val="-10"/>
          <w:sz w:val="28"/>
          <w:szCs w:val="28"/>
        </w:rPr>
        <w:t xml:space="preserve"> </w:t>
      </w:r>
      <w:r>
        <w:rPr>
          <w:color w:val="000000" w:themeColor="text1"/>
          <w:spacing w:val="-10"/>
          <w:sz w:val="28"/>
          <w:szCs w:val="28"/>
        </w:rPr>
        <w:t xml:space="preserve">от 20 июля 2021 г.</w:t>
      </w:r>
      <w:r>
        <w:rPr>
          <w:color w:val="000000" w:themeColor="text1"/>
          <w:sz w:val="28"/>
          <w:szCs w:val="28"/>
        </w:rPr>
        <w:t xml:space="preserve"> № 1228 (Собрание законодательства Российской Федерации, 2021, № 31, ст. 5904)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24 марта 2022 г. </w:t>
      </w:r>
      <w:r>
        <w:rPr>
          <w:color w:val="000000" w:themeColor="text1"/>
          <w:sz w:val="28"/>
          <w:szCs w:val="28"/>
        </w:rPr>
        <w:t xml:space="preserve">№</w:t>
      </w:r>
      <w:r>
        <w:rPr>
          <w:color w:val="000000" w:themeColor="text1"/>
          <w:sz w:val="28"/>
          <w:szCs w:val="28"/>
        </w:rPr>
        <w:t xml:space="preserve"> 454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Об особенностях организации предоставления государственных услуг, а также разработки и принятия административных регламентов предоставления государственных услуг в 2022 году</w:t>
      </w:r>
      <w:r>
        <w:rPr>
          <w:color w:val="000000" w:themeColor="text1"/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(Собрание законодательства Российской Федерации, 2022, </w:t>
      </w:r>
      <w:r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13, ст. 2114</w:t>
      </w:r>
      <w:r>
        <w:rPr>
          <w:color w:val="000000" w:themeColor="text1"/>
          <w:sz w:val="28"/>
          <w:szCs w:val="28"/>
        </w:rPr>
        <w:t xml:space="preserve">; № 36, ст. 6214</w:t>
      </w:r>
      <w:r>
        <w:rPr>
          <w:color w:val="000000" w:themeColor="text1"/>
          <w:sz w:val="28"/>
          <w:szCs w:val="28"/>
        </w:rPr>
        <w:t xml:space="preserve">)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pacing w:val="80"/>
          <w:sz w:val="28"/>
          <w:szCs w:val="28"/>
        </w:rPr>
        <w:t xml:space="preserve">приказыва</w:t>
      </w:r>
      <w:r>
        <w:rPr>
          <w:color w:val="000000" w:themeColor="text1"/>
          <w:sz w:val="28"/>
          <w:szCs w:val="28"/>
        </w:rPr>
        <w:t xml:space="preserve">ю:</w:t>
      </w:r>
      <w:r/>
    </w:p>
    <w:p>
      <w:pPr>
        <w:pStyle w:val="729"/>
        <w:numPr>
          <w:ilvl w:val="0"/>
          <w:numId w:val="5"/>
        </w:numPr>
        <w:ind w:left="0" w:firstLine="709"/>
        <w:jc w:val="both"/>
        <w:spacing w:line="34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Утвердить прилагаемый </w:t>
      </w:r>
      <w:r>
        <w:rPr>
          <w:color w:val="000000" w:themeColor="text1"/>
          <w:sz w:val="28"/>
          <w:szCs w:val="28"/>
          <w:lang w:eastAsia="ru-RU"/>
        </w:rPr>
        <w:t xml:space="preserve">а</w:t>
      </w:r>
      <w:r>
        <w:rPr>
          <w:color w:val="000000" w:themeColor="text1"/>
          <w:sz w:val="28"/>
          <w:szCs w:val="28"/>
          <w:lang w:eastAsia="ru-RU"/>
        </w:rPr>
        <w:t xml:space="preserve">дминистративный </w:t>
      </w:r>
      <w:hyperlink r:id="rId12" w:tooltip="https://login.consultant.ru/link/?rnd=4F76CFA3B754175EE6B7A4131CD947A5&amp;req=doc&amp;base=LAW&amp;n=314549&amp;dst=100017&amp;fld=134&amp;date=22.01.2020" w:history="1">
        <w:r>
          <w:rPr>
            <w:rStyle w:val="731"/>
            <w:color w:val="000000" w:themeColor="text1"/>
            <w:sz w:val="28"/>
            <w:szCs w:val="28"/>
            <w:u w:val="none"/>
            <w:lang w:eastAsia="ru-RU"/>
          </w:rPr>
          <w:t xml:space="preserve">регламент</w:t>
        </w:r>
      </w:hyperlink>
      <w:r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</w:rPr>
        <w:t xml:space="preserve">Федеральной пробирной палаты</w:t>
      </w:r>
      <w:r>
        <w:rPr>
          <w:color w:val="000000" w:themeColor="text1"/>
          <w:sz w:val="28"/>
          <w:szCs w:val="28"/>
          <w:lang w:eastAsia="ru-RU"/>
        </w:rPr>
        <w:t xml:space="preserve"> по предоставлению государственной услуги </w:t>
      </w:r>
      <w:r>
        <w:rPr>
          <w:color w:val="000000" w:themeColor="text1"/>
          <w:sz w:val="28"/>
          <w:szCs w:val="28"/>
          <w:lang w:eastAsia="ru-RU"/>
        </w:rPr>
        <w:t xml:space="preserve">по л</w:t>
      </w:r>
      <w:r>
        <w:rPr>
          <w:color w:val="000000" w:themeColor="text1"/>
          <w:sz w:val="28"/>
          <w:szCs w:val="28"/>
        </w:rPr>
        <w:t xml:space="preserve">ицензиро</w:t>
      </w:r>
      <w:r>
        <w:rPr>
          <w:color w:val="000000" w:themeColor="text1"/>
          <w:sz w:val="28"/>
          <w:szCs w:val="28"/>
        </w:rPr>
        <w:t xml:space="preserve">ванию</w:t>
      </w:r>
      <w:r>
        <w:rPr>
          <w:color w:val="000000" w:themeColor="text1"/>
          <w:sz w:val="28"/>
          <w:szCs w:val="28"/>
        </w:rPr>
        <w:t xml:space="preserve"> деятельности по обработке (переработке) лома и отходов драгоценных металлов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(за исключением деятельности по обработке (переработке) организациями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и индивидуальными</w:t>
      </w:r>
      <w:r>
        <w:rPr>
          <w:color w:val="000000" w:themeColor="text1"/>
          <w:sz w:val="28"/>
          <w:szCs w:val="28"/>
        </w:rPr>
        <w:t xml:space="preserve"> предпринимателями лома и отходов драгоценных металлов, образовавшихся и собранных ими в процессе собственного производства, а также ювелирных и других изделий из драгоценных металлов собственного производства, нереализованных и возвращенных производителю)</w:t>
      </w:r>
      <w:r>
        <w:rPr>
          <w:color w:val="000000" w:themeColor="text1"/>
          <w:sz w:val="28"/>
          <w:szCs w:val="28"/>
          <w:lang w:eastAsia="ru-RU"/>
        </w:rPr>
        <w:t xml:space="preserve">.</w:t>
      </w:r>
      <w:r/>
    </w:p>
    <w:p>
      <w:pPr>
        <w:pStyle w:val="729"/>
        <w:numPr>
          <w:ilvl w:val="0"/>
          <w:numId w:val="5"/>
        </w:numPr>
        <w:ind w:left="0" w:firstLine="709"/>
        <w:jc w:val="both"/>
        <w:spacing w:line="348" w:lineRule="auto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 </w:t>
      </w:r>
      <w:r>
        <w:rPr>
          <w:color w:val="000000" w:themeColor="text1"/>
          <w:sz w:val="28"/>
          <w:szCs w:val="28"/>
          <w:lang w:eastAsia="ru-RU"/>
        </w:rPr>
        <w:t xml:space="preserve">Признать утратившим силу </w:t>
      </w:r>
      <w:r>
        <w:rPr>
          <w:color w:val="000000" w:themeColor="text1"/>
          <w:sz w:val="28"/>
          <w:szCs w:val="28"/>
          <w:lang w:eastAsia="ru-RU"/>
        </w:rPr>
        <w:t xml:space="preserve">п</w:t>
      </w:r>
      <w:r>
        <w:rPr>
          <w:color w:val="000000" w:themeColor="text1"/>
          <w:sz w:val="28"/>
          <w:szCs w:val="28"/>
          <w:lang w:eastAsia="ru-RU"/>
        </w:rPr>
        <w:t xml:space="preserve">риказ Федеральной пробирной палат</w:t>
      </w:r>
      <w:r>
        <w:rPr>
          <w:color w:val="000000" w:themeColor="text1"/>
          <w:sz w:val="28"/>
          <w:szCs w:val="28"/>
          <w:lang w:eastAsia="ru-RU"/>
        </w:rPr>
        <w:t xml:space="preserve">ы </w:t>
      </w:r>
      <w:r>
        <w:rPr>
          <w:color w:val="000000" w:themeColor="text1"/>
          <w:sz w:val="28"/>
          <w:szCs w:val="28"/>
          <w:lang w:eastAsia="ru-RU"/>
        </w:rPr>
        <w:br/>
        <w:t xml:space="preserve">от 19 июля 2021 г. № 141н «Об </w:t>
      </w:r>
      <w:r>
        <w:rPr>
          <w:color w:val="000000" w:themeColor="text1"/>
          <w:sz w:val="28"/>
          <w:szCs w:val="28"/>
          <w:lang w:eastAsia="ru-RU"/>
        </w:rPr>
        <w:t xml:space="preserve">утверждении </w:t>
      </w:r>
      <w:r>
        <w:rPr>
          <w:color w:val="000000" w:themeColor="text1"/>
          <w:sz w:val="28"/>
          <w:szCs w:val="28"/>
          <w:lang w:eastAsia="ru-RU"/>
        </w:rPr>
        <w:t xml:space="preserve">административных регламентов по </w:t>
      </w:r>
      <w:r>
        <w:rPr>
          <w:color w:val="000000" w:themeColor="text1"/>
          <w:sz w:val="28"/>
          <w:szCs w:val="28"/>
          <w:lang w:eastAsia="ru-RU"/>
        </w:rPr>
        <w:t xml:space="preserve">предоставлению территориальными органами Федеральной проби</w:t>
      </w:r>
      <w:r>
        <w:rPr>
          <w:color w:val="000000" w:themeColor="text1"/>
          <w:sz w:val="28"/>
          <w:szCs w:val="28"/>
          <w:lang w:eastAsia="ru-RU"/>
        </w:rPr>
        <w:t xml:space="preserve">рной палаты государственных услуг по лицензированию деятельности по обработке (переработке) лома и отходов драгоценных металлов (за исключением деятельности по обработке (переработке) организациями и индивидуальными предпринимателями лома и отходов драгоце</w:t>
      </w:r>
      <w:r>
        <w:rPr>
          <w:color w:val="000000" w:themeColor="text1"/>
          <w:sz w:val="28"/>
          <w:szCs w:val="28"/>
          <w:lang w:eastAsia="ru-RU"/>
        </w:rPr>
        <w:t xml:space="preserve">нных металлов, образовавшихся и </w:t>
      </w:r>
      <w:r>
        <w:rPr>
          <w:color w:val="000000" w:themeColor="text1"/>
          <w:sz w:val="28"/>
          <w:szCs w:val="28"/>
          <w:lang w:eastAsia="ru-RU"/>
        </w:rPr>
        <w:t xml:space="preserve">собранных ими в процессе собственного пр</w:t>
      </w:r>
      <w:r>
        <w:rPr>
          <w:color w:val="000000" w:themeColor="text1"/>
          <w:sz w:val="28"/>
          <w:szCs w:val="28"/>
          <w:lang w:eastAsia="ru-RU"/>
        </w:rPr>
        <w:t xml:space="preserve">оизводства, а также ювелирных и </w:t>
      </w:r>
      <w:r>
        <w:rPr>
          <w:color w:val="000000" w:themeColor="text1"/>
          <w:sz w:val="28"/>
          <w:szCs w:val="28"/>
          <w:lang w:eastAsia="ru-RU"/>
        </w:rPr>
        <w:t xml:space="preserve">других изделий из драгоценных металлов собственного производства, </w:t>
      </w:r>
      <w:r>
        <w:rPr>
          <w:color w:val="000000" w:themeColor="text1"/>
          <w:sz w:val="28"/>
          <w:szCs w:val="28"/>
          <w:lang w:eastAsia="ru-RU"/>
        </w:rPr>
        <w:t xml:space="preserve">нереализованных и возвращенных производителю) и деятел</w:t>
      </w:r>
      <w:r>
        <w:rPr>
          <w:color w:val="000000" w:themeColor="text1"/>
          <w:sz w:val="28"/>
          <w:szCs w:val="28"/>
          <w:lang w:eastAsia="ru-RU"/>
        </w:rPr>
        <w:t xml:space="preserve">ьности по скупке у </w:t>
      </w:r>
      <w:r>
        <w:rPr>
          <w:color w:val="000000" w:themeColor="text1"/>
          <w:sz w:val="28"/>
          <w:szCs w:val="28"/>
          <w:lang w:eastAsia="ru-RU"/>
        </w:rPr>
        <w:t xml:space="preserve">физических лиц ювелирных и других из</w:t>
      </w:r>
      <w:r>
        <w:rPr>
          <w:color w:val="000000" w:themeColor="text1"/>
          <w:sz w:val="28"/>
          <w:szCs w:val="28"/>
          <w:lang w:eastAsia="ru-RU"/>
        </w:rPr>
        <w:t xml:space="preserve">делий из драгоценных металлов и </w:t>
      </w:r>
      <w:r>
        <w:rPr>
          <w:color w:val="000000" w:themeColor="text1"/>
          <w:sz w:val="28"/>
          <w:szCs w:val="28"/>
          <w:lang w:eastAsia="ru-RU"/>
        </w:rPr>
        <w:t xml:space="preserve">драгоценных камней, лома таких изделий» (зарегистрирован Министерством юстиции Российской Федерации 7 октября 20</w:t>
      </w:r>
      <w:r>
        <w:rPr>
          <w:color w:val="000000" w:themeColor="text1"/>
          <w:sz w:val="28"/>
          <w:szCs w:val="28"/>
          <w:lang w:eastAsia="ru-RU"/>
        </w:rPr>
        <w:t xml:space="preserve">21 г., регистрационный № 65330).</w:t>
      </w:r>
      <w:r/>
    </w:p>
    <w:p>
      <w:pPr>
        <w:pStyle w:val="729"/>
        <w:numPr>
          <w:ilvl w:val="0"/>
          <w:numId w:val="5"/>
        </w:numPr>
        <w:ind w:left="0" w:firstLine="709"/>
        <w:jc w:val="both"/>
        <w:spacing w:line="348" w:lineRule="auto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Контроль за исполнением настоящего приказа возложить на </w:t>
      </w:r>
      <w:r>
        <w:rPr>
          <w:rStyle w:val="736"/>
          <w:rFonts w:ascii="Times New Roman" w:hAnsi="Times New Roman" w:eastAsia="Tahoma"/>
          <w:sz w:val="28"/>
          <w:szCs w:val="28"/>
        </w:rPr>
        <w:t xml:space="preserve">заместителя руководителя Федеральной пробирной палаты Д.В. Замышляева.</w:t>
      </w:r>
      <w:r/>
    </w:p>
    <w:p>
      <w:pPr>
        <w:jc w:val="both"/>
        <w:rPr>
          <w:color w:val="000000" w:themeColor="text1"/>
          <w:sz w:val="32"/>
          <w:szCs w:val="28"/>
          <w:lang w:eastAsia="ru-RU"/>
        </w:rPr>
      </w:pPr>
      <w:r>
        <w:rPr>
          <w:color w:val="000000" w:themeColor="text1"/>
          <w:sz w:val="32"/>
          <w:szCs w:val="28"/>
          <w:lang w:eastAsia="ru-RU"/>
        </w:rPr>
      </w:r>
      <w:r/>
    </w:p>
    <w:p>
      <w:pPr>
        <w:jc w:val="both"/>
        <w:rPr>
          <w:color w:val="000000" w:themeColor="text1"/>
          <w:sz w:val="32"/>
          <w:szCs w:val="28"/>
          <w:lang w:eastAsia="ru-RU"/>
        </w:rPr>
      </w:pPr>
      <w:r>
        <w:rPr>
          <w:color w:val="000000" w:themeColor="text1"/>
          <w:sz w:val="32"/>
          <w:szCs w:val="28"/>
          <w:lang w:eastAsia="ru-RU"/>
        </w:rPr>
      </w:r>
      <w:r/>
    </w:p>
    <w:tbl>
      <w:tblPr>
        <w:tblStyle w:val="730"/>
        <w:tblW w:w="104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3827"/>
        <w:gridCol w:w="3515"/>
      </w:tblGrid>
      <w:tr>
        <w:trPr/>
        <w:tc>
          <w:tcPr>
            <w:tcW w:w="3114" w:type="dxa"/>
            <w:textDirection w:val="lrTb"/>
            <w:noWrap w:val="false"/>
          </w:tcPr>
          <w:p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Руководитель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right="-11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  <w:r/>
          </w:p>
        </w:tc>
        <w:tc>
          <w:tcPr>
            <w:tcW w:w="3515" w:type="dxa"/>
            <w:textDirection w:val="lrTb"/>
            <w:noWrap w:val="false"/>
          </w:tcPr>
          <w:p>
            <w:pPr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Ю.И. Зубарев</w:t>
            </w:r>
            <w:r/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1" w:right="709" w:bottom="709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Wingdings">
    <w:panose1 w:val="05000000000000000000"/>
  </w:font>
  <w:font w:name="PT Sans">
    <w:panose1 w:val="020B0503020203020204"/>
  </w:font>
  <w:font w:name="Times New Roman CYR">
    <w:panose1 w:val="02020603050405020304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Liberation Serif">
    <w:panose1 w:val="02020603050405020304"/>
  </w:font>
  <w:font w:name="Times New Roman">
    <w:panose1 w:val="02020603050405020304"/>
  </w:font>
  <w:font w:name="Arial">
    <w:panose1 w:val="020B0604020202020204"/>
  </w:font>
  <w:font w:name="Tahoma">
    <w:panose1 w:val="020B0604030504040204"/>
  </w:font>
  <w:font w:name="open_sanssemibold">
    <w:panose1 w:val="02000603000000000000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37"/>
      </w:pPr>
      <w:r>
        <w:rPr>
          <w:rStyle w:val="739"/>
        </w:rPr>
        <w:footnoteRef/>
      </w:r>
      <w:r>
        <w:t xml:space="preserve"> Срок действия документа ограничен до 25 сентября 2026 г.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73938173"/>
      <w:docPartObj>
        <w:docPartGallery w:val="Page Numbers (Top of Page)"/>
        <w:docPartUnique w:val="true"/>
      </w:docPartObj>
      <w:rPr/>
    </w:sdtPr>
    <w:sdtContent>
      <w:p>
        <w:pPr>
          <w:pStyle w:val="732"/>
          <w:jc w:val="center"/>
          <w:spacing w:after="120"/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</w:rPr>
          <w:t xml:space="preserve">2</w:t>
        </w:r>
        <w:r>
          <w:rPr>
            <w:sz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81"/>
      <w:isLgl w:val="false"/>
      <w:suff w:val="tab"/>
      <w:lvlText w:val="−"/>
      <w:lvlJc w:val="left"/>
      <w:pPr>
        <w:ind w:left="1070" w:hanging="360"/>
      </w:pPr>
      <w:rPr>
        <w:rFonts w:hint="default" w:ascii="Times New Roman" w:hAnsi="Times New Roman"/>
      </w:rPr>
    </w:lvl>
    <w:lvl w:ilvl="1">
      <w:start w:val="1"/>
      <w:numFmt w:val="bullet"/>
      <w:pStyle w:val="682"/>
      <w:isLgl w:val="false"/>
      <w:suff w:val="tab"/>
      <w:lvlText w:val="−"/>
      <w:lvlJc w:val="left"/>
      <w:pPr>
        <w:ind w:left="1648" w:hanging="360"/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36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8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8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8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1134" w:hanging="425"/>
      </w:pPr>
      <w:rPr>
        <w:rFonts w:hint="default"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78"/>
    <w:link w:val="673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78"/>
    <w:link w:val="674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78"/>
    <w:link w:val="675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78"/>
    <w:link w:val="676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78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2"/>
    <w:next w:val="67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78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2"/>
    <w:next w:val="67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78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2"/>
    <w:next w:val="67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78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2"/>
    <w:next w:val="67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78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672"/>
    <w:next w:val="67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78"/>
    <w:link w:val="33"/>
    <w:uiPriority w:val="10"/>
    <w:rPr>
      <w:sz w:val="48"/>
      <w:szCs w:val="48"/>
    </w:rPr>
  </w:style>
  <w:style w:type="paragraph" w:styleId="35">
    <w:name w:val="Subtitle"/>
    <w:basedOn w:val="672"/>
    <w:next w:val="67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78"/>
    <w:link w:val="35"/>
    <w:uiPriority w:val="11"/>
    <w:rPr>
      <w:sz w:val="24"/>
      <w:szCs w:val="24"/>
    </w:rPr>
  </w:style>
  <w:style w:type="paragraph" w:styleId="37">
    <w:name w:val="Quote"/>
    <w:basedOn w:val="672"/>
    <w:next w:val="67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2"/>
    <w:next w:val="67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78"/>
    <w:link w:val="732"/>
    <w:uiPriority w:val="99"/>
  </w:style>
  <w:style w:type="character" w:styleId="44">
    <w:name w:val="Footer Char"/>
    <w:basedOn w:val="678"/>
    <w:link w:val="734"/>
    <w:uiPriority w:val="99"/>
  </w:style>
  <w:style w:type="character" w:styleId="46">
    <w:name w:val="Caption Char"/>
    <w:basedOn w:val="719"/>
    <w:link w:val="734"/>
    <w:uiPriority w:val="99"/>
  </w:style>
  <w:style w:type="table" w:styleId="48">
    <w:name w:val="Table Grid Light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7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7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7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5">
    <w:name w:val="Footnote Text Char"/>
    <w:link w:val="737"/>
    <w:uiPriority w:val="99"/>
    <w:rPr>
      <w:sz w:val="18"/>
    </w:rPr>
  </w:style>
  <w:style w:type="paragraph" w:styleId="177">
    <w:name w:val="endnote text"/>
    <w:basedOn w:val="67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8"/>
    <w:uiPriority w:val="99"/>
    <w:semiHidden/>
    <w:unhideWhenUsed/>
    <w:rPr>
      <w:vertAlign w:val="superscript"/>
    </w:rPr>
  </w:style>
  <w:style w:type="paragraph" w:styleId="180">
    <w:name w:val="toc 1"/>
    <w:basedOn w:val="672"/>
    <w:next w:val="67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2"/>
    <w:next w:val="67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2"/>
    <w:next w:val="67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2"/>
    <w:next w:val="67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2"/>
    <w:next w:val="67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2"/>
    <w:next w:val="67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2"/>
    <w:next w:val="67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2"/>
    <w:next w:val="67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2"/>
    <w:next w:val="67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2"/>
    <w:next w:val="672"/>
    <w:uiPriority w:val="99"/>
    <w:unhideWhenUsed/>
    <w:pPr>
      <w:spacing w:after="0" w:afterAutospacing="0"/>
    </w:pPr>
  </w:style>
  <w:style w:type="paragraph" w:styleId="672" w:default="1">
    <w:name w:val="Normal"/>
    <w:qFormat/>
    <w:rPr>
      <w:rFonts w:ascii="Times New Roman" w:hAnsi="Times New Roman" w:eastAsia="Times New Roman" w:cs="Times New Roman"/>
    </w:rPr>
  </w:style>
  <w:style w:type="paragraph" w:styleId="673">
    <w:name w:val="Heading 1"/>
    <w:basedOn w:val="709"/>
    <w:link w:val="684"/>
    <w:qFormat/>
    <w:pPr>
      <w:outlineLvl w:val="0"/>
    </w:pPr>
    <w:rPr>
      <w:rFonts w:ascii="Liberation Serif" w:hAnsi="Liberation Serif" w:cs="Tahoma"/>
      <w:b/>
      <w:bCs/>
      <w:sz w:val="48"/>
      <w:szCs w:val="48"/>
    </w:rPr>
  </w:style>
  <w:style w:type="paragraph" w:styleId="674">
    <w:name w:val="Heading 2"/>
    <w:basedOn w:val="672"/>
    <w:next w:val="672"/>
    <w:link w:val="685"/>
    <w:uiPriority w:val="9"/>
    <w:semiHidden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75">
    <w:name w:val="Heading 3"/>
    <w:basedOn w:val="672"/>
    <w:next w:val="672"/>
    <w:link w:val="686"/>
    <w:uiPriority w:val="9"/>
    <w:semiHidden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676">
    <w:name w:val="Heading 4"/>
    <w:basedOn w:val="672"/>
    <w:next w:val="672"/>
    <w:link w:val="687"/>
    <w:uiPriority w:val="9"/>
    <w:semiHidden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77">
    <w:name w:val="Heading 5"/>
    <w:basedOn w:val="672"/>
    <w:next w:val="672"/>
    <w:link w:val="688"/>
    <w:uiPriority w:val="9"/>
    <w:semiHidden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paragraph" w:styleId="681" w:customStyle="1">
    <w:name w:val="List - 1"/>
    <w:basedOn w:val="672"/>
    <w:pPr>
      <w:numPr>
        <w:numId w:val="4"/>
      </w:numPr>
      <w:ind w:left="0" w:firstLine="0"/>
      <w:spacing w:line="360" w:lineRule="auto"/>
      <w:tabs>
        <w:tab w:val="num" w:pos="360" w:leader="none"/>
        <w:tab w:val="left" w:pos="1560" w:leader="none"/>
      </w:tabs>
    </w:pPr>
    <w:rPr>
      <w:bCs/>
    </w:rPr>
  </w:style>
  <w:style w:type="paragraph" w:styleId="682" w:customStyle="1">
    <w:name w:val="List - 2"/>
    <w:basedOn w:val="672"/>
    <w:link w:val="683"/>
    <w:pPr>
      <w:numPr>
        <w:ilvl w:val="1"/>
        <w:numId w:val="2"/>
      </w:numPr>
      <w:ind w:left="1843"/>
      <w:spacing w:line="360" w:lineRule="auto"/>
    </w:pPr>
    <w:rPr>
      <w:rFonts w:cs="Calibri"/>
      <w:szCs w:val="20"/>
    </w:rPr>
  </w:style>
  <w:style w:type="character" w:styleId="683" w:customStyle="1">
    <w:name w:val="List - 2 Char"/>
    <w:link w:val="682"/>
    <w:rPr>
      <w:rFonts w:ascii="Times New Roman" w:hAnsi="Times New Roman"/>
      <w:sz w:val="24"/>
    </w:rPr>
  </w:style>
  <w:style w:type="character" w:styleId="684" w:customStyle="1">
    <w:name w:val="Заголовок 1 Знак"/>
    <w:basedOn w:val="678"/>
    <w:link w:val="673"/>
    <w:rPr>
      <w:rFonts w:ascii="Liberation Serif" w:hAnsi="Liberation Serif" w:eastAsia="Tahoma"/>
      <w:b/>
      <w:bCs/>
      <w:sz w:val="48"/>
      <w:szCs w:val="48"/>
    </w:rPr>
  </w:style>
  <w:style w:type="character" w:styleId="685" w:customStyle="1">
    <w:name w:val="Заголовок 2 Знак"/>
    <w:basedOn w:val="678"/>
    <w:link w:val="674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86" w:customStyle="1">
    <w:name w:val="Заголовок 3 Знак"/>
    <w:basedOn w:val="678"/>
    <w:link w:val="675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2"/>
    </w:rPr>
  </w:style>
  <w:style w:type="character" w:styleId="687" w:customStyle="1">
    <w:name w:val="Заголовок 4 Знак"/>
    <w:basedOn w:val="678"/>
    <w:link w:val="676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  <w:sz w:val="22"/>
    </w:rPr>
  </w:style>
  <w:style w:type="character" w:styleId="688" w:customStyle="1">
    <w:name w:val="Заголовок 5 Знак"/>
    <w:basedOn w:val="678"/>
    <w:link w:val="677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2"/>
    </w:rPr>
  </w:style>
  <w:style w:type="character" w:styleId="689">
    <w:name w:val="Emphasis"/>
    <w:basedOn w:val="678"/>
    <w:uiPriority w:val="20"/>
    <w:qFormat/>
    <w:rPr>
      <w:i/>
      <w:iCs/>
    </w:rPr>
  </w:style>
  <w:style w:type="character" w:styleId="690" w:customStyle="1">
    <w:name w:val="Стандартный HTML Знак"/>
    <w:basedOn w:val="678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691" w:customStyle="1">
    <w:name w:val="Верхний колонтитул Знак"/>
    <w:basedOn w:val="678"/>
    <w:uiPriority w:val="99"/>
    <w:qFormat/>
  </w:style>
  <w:style w:type="character" w:styleId="692" w:customStyle="1">
    <w:name w:val="Нижний колонтитул Знак"/>
    <w:basedOn w:val="678"/>
    <w:qFormat/>
  </w:style>
  <w:style w:type="character" w:styleId="693" w:customStyle="1">
    <w:name w:val="Текст примечания Знак"/>
    <w:basedOn w:val="678"/>
    <w:qFormat/>
    <w:rPr>
      <w:sz w:val="20"/>
      <w:szCs w:val="20"/>
    </w:rPr>
  </w:style>
  <w:style w:type="character" w:styleId="694" w:customStyle="1">
    <w:name w:val="Тема примечания Знак"/>
    <w:basedOn w:val="693"/>
    <w:qFormat/>
    <w:rPr>
      <w:b/>
      <w:bCs/>
      <w:sz w:val="20"/>
      <w:szCs w:val="20"/>
    </w:rPr>
  </w:style>
  <w:style w:type="character" w:styleId="695" w:customStyle="1">
    <w:name w:val="Текст выноски Знак"/>
    <w:basedOn w:val="678"/>
    <w:qFormat/>
    <w:rPr>
      <w:rFonts w:ascii="Segoe UI" w:hAnsi="Segoe UI" w:cs="Segoe UI"/>
      <w:sz w:val="18"/>
      <w:szCs w:val="18"/>
    </w:rPr>
  </w:style>
  <w:style w:type="character" w:styleId="696" w:customStyle="1">
    <w:name w:val="Основной текст Знак"/>
    <w:basedOn w:val="678"/>
    <w:qFormat/>
  </w:style>
  <w:style w:type="character" w:styleId="697" w:customStyle="1">
    <w:name w:val="Текст сноски Знак"/>
    <w:basedOn w:val="678"/>
    <w:qFormat/>
    <w:rPr>
      <w:sz w:val="20"/>
      <w:szCs w:val="20"/>
    </w:rPr>
  </w:style>
  <w:style w:type="character" w:styleId="698" w:customStyle="1">
    <w:name w:val="Footnote Characters"/>
    <w:basedOn w:val="678"/>
    <w:qFormat/>
    <w:rPr>
      <w:vertAlign w:val="superscript"/>
    </w:rPr>
  </w:style>
  <w:style w:type="character" w:styleId="699" w:customStyle="1">
    <w:name w:val="Текст концевой сноски Знак"/>
    <w:basedOn w:val="678"/>
    <w:qFormat/>
    <w:rPr>
      <w:sz w:val="20"/>
      <w:szCs w:val="20"/>
    </w:rPr>
  </w:style>
  <w:style w:type="character" w:styleId="700" w:customStyle="1">
    <w:name w:val="Endnote Characters"/>
    <w:basedOn w:val="678"/>
    <w:qFormat/>
    <w:rPr>
      <w:vertAlign w:val="superscript"/>
    </w:rPr>
  </w:style>
  <w:style w:type="character" w:styleId="701" w:customStyle="1">
    <w:name w:val="ListLabel 1"/>
    <w:qFormat/>
    <w:rPr>
      <w:sz w:val="18"/>
      <w:szCs w:val="18"/>
    </w:rPr>
  </w:style>
  <w:style w:type="character" w:styleId="702" w:customStyle="1">
    <w:name w:val="ListLabel 2"/>
    <w:qFormat/>
    <w:rPr>
      <w:rFonts w:cs="Symbol"/>
      <w:color w:val="auto"/>
      <w:sz w:val="18"/>
      <w:szCs w:val="18"/>
    </w:rPr>
  </w:style>
  <w:style w:type="character" w:styleId="703" w:customStyle="1">
    <w:name w:val="Символ сноски"/>
    <w:qFormat/>
  </w:style>
  <w:style w:type="character" w:styleId="704" w:customStyle="1">
    <w:name w:val="Символ концевой сноски"/>
    <w:qFormat/>
  </w:style>
  <w:style w:type="character" w:styleId="705" w:customStyle="1">
    <w:name w:val="Цветовое выделение для Текст"/>
    <w:qFormat/>
    <w:rPr>
      <w:rFonts w:ascii="Times New Roman CYR" w:hAnsi="Times New Roman CYR"/>
      <w:sz w:val="24"/>
    </w:rPr>
  </w:style>
  <w:style w:type="character" w:styleId="706" w:customStyle="1">
    <w:name w:val="Гипертекстовая ссылка"/>
    <w:qFormat/>
    <w:rPr>
      <w:rFonts w:cs="Times New Roman"/>
      <w:b/>
      <w:color w:val="106bbe"/>
    </w:rPr>
  </w:style>
  <w:style w:type="character" w:styleId="707" w:customStyle="1">
    <w:name w:val="ListLabel 9"/>
    <w:qFormat/>
    <w:rPr>
      <w:rFonts w:ascii="Times New Roman" w:hAnsi="Times New Roman"/>
      <w:b w:val="0"/>
      <w:sz w:val="28"/>
      <w:szCs w:val="28"/>
      <w:lang w:val="ru-RU" w:eastAsia="ru-RU" w:bidi="ar-SA"/>
    </w:rPr>
  </w:style>
  <w:style w:type="character" w:styleId="708" w:customStyle="1">
    <w:name w:val="Символ нумерации"/>
    <w:qFormat/>
  </w:style>
  <w:style w:type="paragraph" w:styleId="709" w:customStyle="1">
    <w:name w:val="Заголовок1"/>
    <w:basedOn w:val="672"/>
    <w:next w:val="710"/>
    <w:qFormat/>
    <w:pPr>
      <w:keepNext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710">
    <w:name w:val="Body Text"/>
    <w:basedOn w:val="672"/>
    <w:link w:val="711"/>
    <w:uiPriority w:val="99"/>
    <w:semiHidden/>
    <w:unhideWhenUsed/>
    <w:pPr>
      <w:spacing w:after="120"/>
    </w:pPr>
  </w:style>
  <w:style w:type="character" w:styleId="711" w:customStyle="1">
    <w:name w:val="Основной текст Знак1"/>
    <w:basedOn w:val="678"/>
    <w:link w:val="710"/>
    <w:uiPriority w:val="99"/>
    <w:semiHidden/>
    <w:rPr>
      <w:rFonts w:ascii="Arial" w:hAnsi="Arial" w:cs="Arial"/>
      <w:sz w:val="24"/>
      <w:szCs w:val="24"/>
    </w:rPr>
  </w:style>
  <w:style w:type="paragraph" w:styleId="712" w:customStyle="1">
    <w:name w:val="Standard"/>
    <w:qFormat/>
    <w:rPr>
      <w:rFonts w:ascii="PT Sans" w:hAnsi="PT Sans" w:eastAsia="Tahoma" w:cs="Noto Sans Devanagari"/>
      <w:sz w:val="24"/>
      <w:szCs w:val="24"/>
      <w:lang w:eastAsia="zh-CN" w:bidi="hi-IN"/>
    </w:rPr>
  </w:style>
  <w:style w:type="paragraph" w:styleId="713" w:customStyle="1">
    <w:name w:val="Содержимое таблицы"/>
    <w:basedOn w:val="672"/>
    <w:qFormat/>
    <w:pPr>
      <w:suppressLineNumbers/>
    </w:pPr>
  </w:style>
  <w:style w:type="paragraph" w:styleId="714" w:customStyle="1">
    <w:name w:val="Заголовок таблицы"/>
    <w:basedOn w:val="713"/>
    <w:qFormat/>
    <w:pPr>
      <w:jc w:val="center"/>
    </w:pPr>
    <w:rPr>
      <w:b/>
      <w:bCs/>
    </w:rPr>
  </w:style>
  <w:style w:type="paragraph" w:styleId="715">
    <w:name w:val="annotation text"/>
    <w:basedOn w:val="672"/>
    <w:link w:val="716"/>
    <w:qFormat/>
    <w:rPr>
      <w:szCs w:val="20"/>
    </w:rPr>
  </w:style>
  <w:style w:type="character" w:styleId="716" w:customStyle="1">
    <w:name w:val="Текст примечания Знак1"/>
    <w:basedOn w:val="678"/>
    <w:link w:val="715"/>
    <w:rPr>
      <w:szCs w:val="20"/>
    </w:rPr>
  </w:style>
  <w:style w:type="paragraph" w:styleId="717">
    <w:name w:val="index 1"/>
    <w:basedOn w:val="672"/>
    <w:next w:val="672"/>
    <w:uiPriority w:val="99"/>
    <w:semiHidden/>
    <w:unhideWhenUsed/>
    <w:pPr>
      <w:ind w:left="220" w:hanging="220"/>
    </w:pPr>
  </w:style>
  <w:style w:type="paragraph" w:styleId="718">
    <w:name w:val="index heading"/>
    <w:basedOn w:val="672"/>
    <w:qFormat/>
    <w:pPr>
      <w:suppressLineNumbers/>
    </w:pPr>
    <w:rPr>
      <w:rFonts w:ascii="PT Sans" w:hAnsi="PT Sans" w:cs="Noto Sans Devanagari"/>
    </w:rPr>
  </w:style>
  <w:style w:type="paragraph" w:styleId="719">
    <w:name w:val="Caption"/>
    <w:basedOn w:val="672"/>
    <w:qFormat/>
    <w:pPr>
      <w:spacing w:before="120" w:after="120"/>
      <w:suppressLineNumbers/>
    </w:pPr>
    <w:rPr>
      <w:rFonts w:ascii="PT Sans" w:hAnsi="PT Sans" w:cs="Noto Sans Devanagari"/>
      <w:i/>
      <w:iCs/>
      <w:sz w:val="24"/>
      <w:szCs w:val="24"/>
    </w:rPr>
  </w:style>
  <w:style w:type="character" w:styleId="720">
    <w:name w:val="annotation reference"/>
    <w:basedOn w:val="678"/>
    <w:qFormat/>
    <w:rPr>
      <w:sz w:val="16"/>
      <w:szCs w:val="16"/>
    </w:rPr>
  </w:style>
  <w:style w:type="paragraph" w:styleId="721">
    <w:name w:val="Normal (Web)"/>
    <w:basedOn w:val="672"/>
    <w:qFormat/>
    <w:pPr>
      <w:spacing w:before="280" w:after="280"/>
    </w:pPr>
    <w:rPr>
      <w:sz w:val="24"/>
      <w:szCs w:val="24"/>
      <w:lang w:eastAsia="ru-RU"/>
    </w:rPr>
  </w:style>
  <w:style w:type="paragraph" w:styleId="722">
    <w:name w:val="HTML Preformatted"/>
    <w:basedOn w:val="672"/>
    <w:link w:val="723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Cs w:val="20"/>
      <w:lang w:eastAsia="ru-RU"/>
    </w:rPr>
  </w:style>
  <w:style w:type="character" w:styleId="723" w:customStyle="1">
    <w:name w:val="Стандартный HTML Знак1"/>
    <w:basedOn w:val="678"/>
    <w:link w:val="722"/>
    <w:rPr>
      <w:rFonts w:ascii="Courier New" w:hAnsi="Courier New" w:eastAsia="Times New Roman" w:cs="Courier New"/>
      <w:szCs w:val="20"/>
      <w:lang w:eastAsia="ru-RU"/>
    </w:rPr>
  </w:style>
  <w:style w:type="paragraph" w:styleId="724">
    <w:name w:val="annotation subject"/>
    <w:basedOn w:val="715"/>
    <w:link w:val="725"/>
    <w:qFormat/>
    <w:rPr>
      <w:b/>
      <w:bCs/>
    </w:rPr>
  </w:style>
  <w:style w:type="character" w:styleId="725" w:customStyle="1">
    <w:name w:val="Тема примечания Знак1"/>
    <w:basedOn w:val="716"/>
    <w:link w:val="724"/>
    <w:rPr>
      <w:b/>
      <w:bCs/>
      <w:szCs w:val="20"/>
    </w:rPr>
  </w:style>
  <w:style w:type="paragraph" w:styleId="726">
    <w:name w:val="Balloon Text"/>
    <w:basedOn w:val="672"/>
    <w:link w:val="727"/>
    <w:qFormat/>
    <w:rPr>
      <w:rFonts w:ascii="Segoe UI" w:hAnsi="Segoe UI" w:cs="Segoe UI"/>
      <w:sz w:val="18"/>
      <w:szCs w:val="18"/>
    </w:rPr>
  </w:style>
  <w:style w:type="character" w:styleId="727" w:customStyle="1">
    <w:name w:val="Текст выноски Знак1"/>
    <w:basedOn w:val="678"/>
    <w:link w:val="726"/>
    <w:rPr>
      <w:rFonts w:ascii="Segoe UI" w:hAnsi="Segoe UI" w:cs="Segoe UI"/>
      <w:sz w:val="18"/>
      <w:szCs w:val="18"/>
    </w:rPr>
  </w:style>
  <w:style w:type="paragraph" w:styleId="728">
    <w:name w:val="No Spacing"/>
    <w:qFormat/>
    <w:rPr>
      <w:sz w:val="22"/>
    </w:rPr>
  </w:style>
  <w:style w:type="paragraph" w:styleId="729">
    <w:name w:val="List Paragraph"/>
    <w:basedOn w:val="672"/>
    <w:uiPriority w:val="34"/>
    <w:qFormat/>
    <w:pPr>
      <w:contextualSpacing/>
      <w:ind w:left="720"/>
    </w:pPr>
  </w:style>
  <w:style w:type="table" w:styleId="730">
    <w:name w:val="Table Grid"/>
    <w:basedOn w:val="679"/>
    <w:uiPriority w:val="39"/>
    <w:rPr>
      <w:rFonts w:asciiTheme="minorHAnsi" w:hAnsiTheme="minorHAnsi" w:eastAsiaTheme="minorHAnsi" w:cstheme="minorBidi"/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31">
    <w:name w:val="Hyperlink"/>
    <w:basedOn w:val="678"/>
    <w:uiPriority w:val="99"/>
    <w:semiHidden/>
    <w:unhideWhenUsed/>
    <w:rPr>
      <w:color w:val="0000ff"/>
      <w:u w:val="single"/>
    </w:rPr>
  </w:style>
  <w:style w:type="paragraph" w:styleId="732">
    <w:name w:val="Header"/>
    <w:basedOn w:val="672"/>
    <w:link w:val="73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3" w:customStyle="1">
    <w:name w:val="Верхний колонтитул Знак1"/>
    <w:basedOn w:val="678"/>
    <w:link w:val="732"/>
    <w:uiPriority w:val="99"/>
    <w:rPr>
      <w:rFonts w:ascii="Times New Roman" w:hAnsi="Times New Roman" w:eastAsia="Times New Roman" w:cs="Times New Roman"/>
    </w:rPr>
  </w:style>
  <w:style w:type="paragraph" w:styleId="734">
    <w:name w:val="Footer"/>
    <w:basedOn w:val="672"/>
    <w:link w:val="7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5" w:customStyle="1">
    <w:name w:val="Нижний колонтитул Знак1"/>
    <w:basedOn w:val="678"/>
    <w:link w:val="734"/>
    <w:uiPriority w:val="99"/>
    <w:rPr>
      <w:rFonts w:ascii="Times New Roman" w:hAnsi="Times New Roman" w:eastAsia="Times New Roman" w:cs="Times New Roman"/>
    </w:rPr>
  </w:style>
  <w:style w:type="character" w:styleId="736" w:customStyle="1">
    <w:name w:val="position1"/>
    <w:basedOn w:val="678"/>
    <w:rPr>
      <w:rFonts w:hint="default" w:ascii="open_sanssemibold" w:hAnsi="open_sanssemibold"/>
      <w:sz w:val="23"/>
      <w:szCs w:val="23"/>
    </w:rPr>
  </w:style>
  <w:style w:type="paragraph" w:styleId="737">
    <w:name w:val="footnote text"/>
    <w:basedOn w:val="672"/>
    <w:link w:val="738"/>
    <w:uiPriority w:val="99"/>
    <w:semiHidden/>
    <w:unhideWhenUsed/>
    <w:rPr>
      <w:szCs w:val="20"/>
    </w:rPr>
  </w:style>
  <w:style w:type="character" w:styleId="738" w:customStyle="1">
    <w:name w:val="Текст сноски Знак1"/>
    <w:basedOn w:val="678"/>
    <w:link w:val="737"/>
    <w:uiPriority w:val="99"/>
    <w:semiHidden/>
    <w:rPr>
      <w:rFonts w:ascii="Times New Roman" w:hAnsi="Times New Roman" w:eastAsia="Times New Roman" w:cs="Times New Roman"/>
      <w:szCs w:val="20"/>
    </w:rPr>
  </w:style>
  <w:style w:type="character" w:styleId="739">
    <w:name w:val="footnote reference"/>
    <w:basedOn w:val="678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hyperlink" Target="https://login.consultant.ru/link/?rnd=4F76CFA3B754175EE6B7A4131CD947A5&amp;req=doc&amp;base=LAW&amp;n=314549&amp;dst=100017&amp;fld=134&amp;date=22.01.20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03F52-AB13-44B3-9992-DB78524C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Алексей</dc:creator>
  <cp:revision>14</cp:revision>
  <dcterms:created xsi:type="dcterms:W3CDTF">2022-07-04T12:13:00Z</dcterms:created>
  <dcterms:modified xsi:type="dcterms:W3CDTF">2022-12-27T11:57:01Z</dcterms:modified>
</cp:coreProperties>
</file>