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 w:themeColor="text1"/>
          <w:sz w:val="22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-46273</wp:posOffset>
                </wp:positionH>
                <wp:positionV relativeFrom="paragraph">
                  <wp:posOffset>-85725</wp:posOffset>
                </wp:positionV>
                <wp:extent cx="6429375" cy="2065115"/>
                <wp:effectExtent l="6350" t="6350" r="6350" b="6350"/>
                <wp:wrapNone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9183" t="8048" r="6091" b="28955"/>
                        <a:stretch/>
                      </pic:blipFill>
                      <pic:spPr bwMode="auto">
                        <a:xfrm flipH="0" flipV="0">
                          <a:off x="0" y="0"/>
                          <a:ext cx="6429375" cy="2065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-3.6pt;mso-position-horizontal:absolute;mso-position-vertical-relative:text;margin-top:-6.8pt;mso-position-vertical:absolute;width:506.2pt;height:162.6pt;mso-wrap-distance-left:9.0pt;mso-wrap-distance-top:0.0pt;mso-wrap-distance-right:9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27.10.2022                                                                                              № 166н</w:t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  <w:lang w:eastAsia="ru-RU"/>
        </w:rPr>
        <w:t xml:space="preserve">Москва</w:t>
      </w:r>
      <w:r>
        <w:rPr>
          <w:b w:val="0"/>
          <w:bCs w:val="0"/>
          <w:color w:val="000000" w:themeColor="text1"/>
          <w:sz w:val="28"/>
          <w:szCs w:val="28"/>
        </w:rPr>
      </w:r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</w:t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Федеральной пробирной палаты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по предоставлению государственной услуги </w:t>
      </w:r>
      <w:r>
        <w:rPr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b/>
          <w:color w:val="000000" w:themeColor="text1"/>
          <w:sz w:val="28"/>
          <w:szCs w:val="28"/>
        </w:rPr>
        <w:t xml:space="preserve">по л</w:t>
      </w:r>
      <w:r>
        <w:rPr>
          <w:b/>
          <w:color w:val="000000" w:themeColor="text1"/>
          <w:sz w:val="28"/>
          <w:szCs w:val="28"/>
        </w:rPr>
        <w:t xml:space="preserve">ицензировани</w:t>
      </w:r>
      <w:r>
        <w:rPr>
          <w:b/>
          <w:color w:val="000000" w:themeColor="text1"/>
          <w:sz w:val="28"/>
          <w:szCs w:val="28"/>
        </w:rPr>
        <w:t xml:space="preserve">ю</w:t>
      </w:r>
      <w:r>
        <w:rPr>
          <w:b/>
          <w:color w:val="000000" w:themeColor="text1"/>
          <w:sz w:val="28"/>
          <w:szCs w:val="28"/>
        </w:rPr>
        <w:t xml:space="preserve"> деятельности по</w:t>
      </w:r>
      <w:r>
        <w:rPr>
          <w:b/>
          <w:color w:val="000000" w:themeColor="text1"/>
          <w:sz w:val="28"/>
          <w:szCs w:val="28"/>
        </w:rPr>
        <w:t xml:space="preserve"> скуп</w:t>
      </w:r>
      <w:r>
        <w:rPr>
          <w:b/>
          <w:color w:val="000000" w:themeColor="text1"/>
          <w:sz w:val="28"/>
          <w:szCs w:val="28"/>
        </w:rPr>
        <w:t xml:space="preserve">ке у физических лиц ювелирных и </w:t>
      </w:r>
      <w:r>
        <w:rPr>
          <w:b/>
          <w:color w:val="000000" w:themeColor="text1"/>
          <w:sz w:val="28"/>
          <w:szCs w:val="28"/>
        </w:rPr>
        <w:t xml:space="preserve">других изделий из драгоценных металлов и драгоценных камней, лома таких изделий</w:t>
      </w:r>
      <w:r/>
    </w:p>
    <w:p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15.1 Федерального закона от 26 марта 1998 г. </w:t>
      </w:r>
      <w:r>
        <w:rPr>
          <w:color w:val="000000" w:themeColor="text1"/>
          <w:sz w:val="28"/>
          <w:szCs w:val="28"/>
        </w:rPr>
        <w:br/>
        <w:t xml:space="preserve">№ 41-ФЗ «О драгоценных металлах и драгоценных камнях» (Собрание </w:t>
      </w:r>
      <w:r>
        <w:rPr>
          <w:color w:val="000000" w:themeColor="text1"/>
          <w:spacing w:val="-2"/>
          <w:sz w:val="28"/>
          <w:szCs w:val="28"/>
        </w:rPr>
        <w:t xml:space="preserve">законодательства Российской Федерации, 1998, № 13, ст. 1463; 2019, № 31, ст. 4441),</w:t>
      </w:r>
      <w:r>
        <w:rPr>
          <w:color w:val="000000" w:themeColor="text1"/>
          <w:sz w:val="28"/>
          <w:szCs w:val="28"/>
        </w:rPr>
        <w:t xml:space="preserve"> пунктом 57</w:t>
      </w:r>
      <w:r>
        <w:rPr>
          <w:color w:val="000000" w:themeColor="text1"/>
          <w:sz w:val="28"/>
          <w:szCs w:val="28"/>
        </w:rPr>
        <w:t xml:space="preserve"> части 1 статьи 12 Федерального закона от 4 мая 2011 г. № 99-ФЗ </w:t>
      </w:r>
      <w:r>
        <w:rPr>
          <w:color w:val="000000" w:themeColor="text1"/>
          <w:sz w:val="28"/>
          <w:szCs w:val="28"/>
        </w:rPr>
        <w:br/>
        <w:t xml:space="preserve">«О лицензировании отдельных видов деятельности» (Собрание законодательства </w:t>
      </w:r>
      <w:r>
        <w:rPr>
          <w:color w:val="000000" w:themeColor="text1"/>
          <w:spacing w:val="-4"/>
          <w:sz w:val="28"/>
          <w:szCs w:val="28"/>
        </w:rPr>
        <w:t xml:space="preserve">Российской Феде</w:t>
      </w:r>
      <w:r>
        <w:rPr>
          <w:color w:val="000000" w:themeColor="text1"/>
          <w:spacing w:val="-4"/>
          <w:sz w:val="28"/>
          <w:szCs w:val="28"/>
        </w:rPr>
        <w:t xml:space="preserve">рации, 2011, № 19, ст. 2716; 2019</w:t>
      </w:r>
      <w:r>
        <w:rPr>
          <w:color w:val="000000" w:themeColor="text1"/>
          <w:spacing w:val="-4"/>
          <w:sz w:val="28"/>
          <w:szCs w:val="28"/>
        </w:rPr>
        <w:t xml:space="preserve">, № </w:t>
      </w:r>
      <w:r>
        <w:rPr>
          <w:color w:val="000000" w:themeColor="text1"/>
          <w:spacing w:val="-4"/>
          <w:sz w:val="28"/>
          <w:szCs w:val="28"/>
        </w:rPr>
        <w:t xml:space="preserve">31, ст. 4441</w:t>
      </w:r>
      <w:r>
        <w:rPr>
          <w:color w:val="000000" w:themeColor="text1"/>
          <w:spacing w:val="-4"/>
          <w:sz w:val="28"/>
          <w:szCs w:val="28"/>
        </w:rPr>
        <w:t xml:space="preserve">), частью 1 статьи 13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Федерального закона от 27 июля 2010 г. № 210-ФЗ «Об организации предоставления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государственных и муниципальных услуг» (Собрание законодательства Российской</w:t>
      </w:r>
      <w:r>
        <w:rPr>
          <w:color w:val="000000" w:themeColor="text1"/>
          <w:sz w:val="28"/>
          <w:szCs w:val="28"/>
        </w:rPr>
        <w:t xml:space="preserve"> Федерации, 2010, № 31, ст. 4179; 2021, № 1, ст. 48), </w:t>
      </w:r>
      <w:r>
        <w:rPr>
          <w:spacing w:val="-6"/>
          <w:sz w:val="28"/>
          <w:szCs w:val="28"/>
        </w:rPr>
        <w:t xml:space="preserve">подпунктом 5.4 пункта 5 Положения о Федеральной пробирной</w:t>
      </w:r>
      <w:r>
        <w:rPr>
          <w:sz w:val="28"/>
          <w:szCs w:val="28"/>
        </w:rPr>
        <w:t xml:space="preserve"> палате, утвержденного постановлением Правительства Российской Федерации от 20 марта 2020 г. № 307 (Собрание законодательства Российской Федерации, 2020, № 13, ст. 1921), </w:t>
      </w:r>
      <w:r>
        <w:rPr>
          <w:color w:val="000000" w:themeColor="text1"/>
          <w:sz w:val="28"/>
          <w:szCs w:val="28"/>
        </w:rPr>
        <w:t xml:space="preserve">Положением о </w:t>
      </w:r>
      <w:r>
        <w:rPr>
          <w:color w:val="000000" w:themeColor="text1"/>
          <w:sz w:val="28"/>
          <w:szCs w:val="28"/>
        </w:rPr>
        <w:t xml:space="preserve">лицензировании деятельности по</w:t>
      </w:r>
      <w:r>
        <w:rPr>
          <w:color w:val="000000" w:themeColor="text1"/>
          <w:sz w:val="28"/>
          <w:szCs w:val="28"/>
        </w:rPr>
        <w:t xml:space="preserve"> скупке у физических ли</w:t>
      </w:r>
      <w:r>
        <w:rPr>
          <w:color w:val="000000" w:themeColor="text1"/>
          <w:sz w:val="28"/>
          <w:szCs w:val="28"/>
        </w:rPr>
        <w:t xml:space="preserve">ц ювелирных и других изделий </w:t>
      </w:r>
      <w:r>
        <w:rPr>
          <w:color w:val="000000" w:themeColor="text1"/>
          <w:spacing w:val="-4"/>
          <w:sz w:val="28"/>
          <w:szCs w:val="28"/>
        </w:rPr>
        <w:t xml:space="preserve">из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драгоценных металлов и драгоценных камней, лома таких изделий</w:t>
      </w:r>
      <w:r>
        <w:rPr>
          <w:color w:val="000000" w:themeColor="text1"/>
          <w:spacing w:val="-4"/>
          <w:sz w:val="28"/>
          <w:szCs w:val="28"/>
        </w:rPr>
        <w:t xml:space="preserve">, утвержденным</w:t>
      </w:r>
      <w:r>
        <w:rPr>
          <w:color w:val="000000" w:themeColor="text1"/>
          <w:spacing w:val="-4"/>
          <w:sz w:val="28"/>
          <w:szCs w:val="28"/>
        </w:rPr>
        <w:t xml:space="preserve"> постановлением</w:t>
      </w:r>
      <w:r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12 сентября 2020 г. 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1418</w:t>
      </w:r>
      <w:r>
        <w:rPr>
          <w:rStyle w:val="739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(Собрание </w:t>
      </w:r>
      <w:r>
        <w:rPr>
          <w:color w:val="000000" w:themeColor="text1"/>
          <w:spacing w:val="-2"/>
          <w:sz w:val="28"/>
          <w:szCs w:val="28"/>
        </w:rPr>
        <w:t xml:space="preserve">законодательства Российской Федерации, </w:t>
      </w:r>
      <w:r>
        <w:rPr>
          <w:color w:val="000000" w:themeColor="text1"/>
          <w:spacing w:val="-2"/>
          <w:sz w:val="28"/>
          <w:szCs w:val="28"/>
        </w:rPr>
        <w:t xml:space="preserve">2020, № 38, ст. 5892; 2021, № 49, ст. 8261)</w:t>
      </w:r>
      <w:r>
        <w:rPr>
          <w:color w:val="000000" w:themeColor="text1"/>
          <w:spacing w:val="-2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пунктом 2 Правил разработки и </w:t>
      </w:r>
      <w:r>
        <w:rPr>
          <w:color w:val="000000" w:themeColor="text1"/>
          <w:sz w:val="28"/>
          <w:szCs w:val="28"/>
        </w:rPr>
        <w:t xml:space="preserve">утверждения административных регламентов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государственных услуг, утвержденных постановлением Правительства</w:t>
      </w:r>
      <w:r>
        <w:rPr>
          <w:color w:val="000000" w:themeColor="text1"/>
          <w:sz w:val="28"/>
          <w:szCs w:val="28"/>
        </w:rPr>
        <w:t xml:space="preserve"> Российской Федерации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от 20 июля 2021 г. № 1228 (Собрание законодательства Российской Федерации, 2021, № 31, ст. 5904)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  <w:t xml:space="preserve">о</w:t>
      </w:r>
      <w:r>
        <w:rPr>
          <w:color w:val="000000" w:themeColor="text1"/>
          <w:sz w:val="28"/>
          <w:szCs w:val="28"/>
        </w:rPr>
        <w:t xml:space="preserve">т 24 марта 2022 г.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 (Собрание законодательства Российской Федерации, 2022, </w:t>
      </w: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13, ст. 2114</w:t>
      </w:r>
      <w:r>
        <w:rPr>
          <w:color w:val="000000" w:themeColor="text1"/>
          <w:sz w:val="28"/>
          <w:szCs w:val="28"/>
        </w:rPr>
        <w:t xml:space="preserve">; № 36, ст. 6214</w:t>
      </w:r>
      <w:r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pacing w:val="100"/>
          <w:sz w:val="28"/>
          <w:szCs w:val="28"/>
        </w:rPr>
        <w:t xml:space="preserve">приказыва</w:t>
      </w:r>
      <w:r>
        <w:rPr>
          <w:color w:val="000000" w:themeColor="text1"/>
          <w:sz w:val="28"/>
          <w:szCs w:val="28"/>
        </w:rPr>
        <w:t xml:space="preserve">ю:</w:t>
      </w:r>
      <w:r/>
    </w:p>
    <w:p>
      <w:pPr>
        <w:pStyle w:val="729"/>
        <w:numPr>
          <w:ilvl w:val="0"/>
          <w:numId w:val="5"/>
        </w:numPr>
        <w:ind w:left="0" w:firstLine="709"/>
        <w:jc w:val="both"/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Утвердить прилагаемый а</w:t>
      </w:r>
      <w:r>
        <w:rPr>
          <w:color w:val="000000" w:themeColor="text1"/>
          <w:sz w:val="28"/>
          <w:szCs w:val="28"/>
          <w:lang w:eastAsia="ru-RU"/>
        </w:rPr>
        <w:t xml:space="preserve">дминистративный </w:t>
      </w:r>
      <w:hyperlink r:id="rId12" w:tooltip="https://login.consultant.ru/link/?rnd=4F76CFA3B754175EE6B7A4131CD947A5&amp;req=doc&amp;base=LAW&amp;n=314549&amp;dst=100017&amp;fld=134&amp;date=22.01.2020" w:history="1">
        <w:r>
          <w:rPr>
            <w:rStyle w:val="731"/>
            <w:color w:val="000000" w:themeColor="text1"/>
            <w:sz w:val="28"/>
            <w:szCs w:val="28"/>
            <w:u w:val="none"/>
            <w:lang w:eastAsia="ru-RU"/>
          </w:rPr>
          <w:t xml:space="preserve">регламент</w:t>
        </w:r>
      </w:hyperlink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пробирной палаты</w:t>
      </w:r>
      <w:r>
        <w:rPr>
          <w:color w:val="000000" w:themeColor="text1"/>
          <w:sz w:val="28"/>
          <w:szCs w:val="28"/>
          <w:lang w:eastAsia="ru-RU"/>
        </w:rPr>
        <w:t xml:space="preserve"> по предост</w:t>
      </w:r>
      <w:r>
        <w:rPr>
          <w:color w:val="000000" w:themeColor="text1"/>
          <w:sz w:val="28"/>
          <w:szCs w:val="28"/>
          <w:lang w:eastAsia="ru-RU"/>
        </w:rPr>
        <w:t xml:space="preserve">авлению государственной услуги по л</w:t>
      </w:r>
      <w:r>
        <w:rPr>
          <w:color w:val="000000" w:themeColor="text1"/>
          <w:sz w:val="28"/>
          <w:szCs w:val="28"/>
        </w:rPr>
        <w:t xml:space="preserve">ицензиро</w:t>
      </w:r>
      <w:r>
        <w:rPr>
          <w:color w:val="000000" w:themeColor="text1"/>
          <w:sz w:val="28"/>
          <w:szCs w:val="28"/>
        </w:rPr>
        <w:t xml:space="preserve">ванию</w:t>
      </w:r>
      <w:r>
        <w:rPr>
          <w:color w:val="000000" w:themeColor="text1"/>
          <w:sz w:val="28"/>
          <w:szCs w:val="28"/>
        </w:rPr>
        <w:t xml:space="preserve"> деятельности по</w:t>
      </w:r>
      <w:r>
        <w:rPr>
          <w:color w:val="000000" w:themeColor="text1"/>
          <w:sz w:val="28"/>
          <w:szCs w:val="28"/>
        </w:rPr>
        <w:t xml:space="preserve"> скупке у физических ли</w:t>
      </w:r>
      <w:r>
        <w:rPr>
          <w:color w:val="000000" w:themeColor="text1"/>
          <w:sz w:val="28"/>
          <w:szCs w:val="28"/>
        </w:rPr>
        <w:t xml:space="preserve">ц ювелирных и других изделий из </w:t>
      </w:r>
      <w:r>
        <w:rPr>
          <w:color w:val="000000" w:themeColor="text1"/>
          <w:sz w:val="28"/>
          <w:szCs w:val="28"/>
        </w:rPr>
        <w:t xml:space="preserve">драгоценных металлов и драгоценных камней, лома таких изделий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729"/>
        <w:numPr>
          <w:ilvl w:val="0"/>
          <w:numId w:val="5"/>
        </w:numPr>
        <w:ind w:left="0" w:firstLine="709"/>
        <w:jc w:val="both"/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rStyle w:val="736"/>
          <w:rFonts w:ascii="Times New Roman" w:hAnsi="Times New Roman" w:eastAsia="Tahoma"/>
          <w:sz w:val="28"/>
          <w:szCs w:val="28"/>
        </w:rPr>
        <w:t xml:space="preserve">заместителя руководителя Федеральной пробирной палаты Д.В. Замышляева.</w:t>
      </w:r>
      <w:r/>
    </w:p>
    <w:p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p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</w:r>
      <w:r/>
    </w:p>
    <w:tbl>
      <w:tblPr>
        <w:tblStyle w:val="730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827"/>
        <w:gridCol w:w="35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-11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Ю.И. Зубарев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851" w:right="709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Wingdings">
    <w:panose1 w:val="05000000000000000000"/>
  </w:font>
  <w:font w:name="PT Sans">
    <w:panose1 w:val="020B0503020203020204"/>
  </w:font>
  <w:font w:name="Times New Roman CYR">
    <w:panose1 w:val="02020603050405020304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open_sanssemibold">
    <w:panose1 w:val="02000603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37"/>
      </w:pPr>
      <w:r>
        <w:rPr>
          <w:rStyle w:val="739"/>
        </w:rPr>
        <w:footnoteRef/>
      </w:r>
      <w:r>
        <w:t xml:space="preserve"> Срок действия документа ограничен до 25 сентября 2026 г.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3938173"/>
      <w:docPartObj>
        <w:docPartGallery w:val="Page Numbers (Top of Page)"/>
        <w:docPartUnique w:val="true"/>
      </w:docPartObj>
      <w:rPr/>
    </w:sdtPr>
    <w:sdtContent>
      <w:p>
        <w:pPr>
          <w:pStyle w:val="732"/>
          <w:jc w:val="center"/>
          <w:spacing w:after="120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 xml:space="preserve">2</w:t>
        </w:r>
        <w:r>
          <w:rPr>
            <w:sz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81"/>
      <w:isLgl w:val="false"/>
      <w:suff w:val="tab"/>
      <w:lvlText w:val="−"/>
      <w:lvlJc w:val="left"/>
      <w:pPr>
        <w:ind w:left="1070" w:hanging="360"/>
      </w:pPr>
      <w:rPr>
        <w:rFonts w:hint="default" w:ascii="Times New Roman" w:hAnsi="Times New Roman"/>
      </w:rPr>
    </w:lvl>
    <w:lvl w:ilvl="1">
      <w:start w:val="1"/>
      <w:numFmt w:val="bullet"/>
      <w:pStyle w:val="682"/>
      <w:isLgl w:val="false"/>
      <w:suff w:val="tab"/>
      <w:lvlText w:val="−"/>
      <w:lvlJc w:val="left"/>
      <w:pPr>
        <w:ind w:left="1648" w:hanging="360"/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1134" w:hanging="425"/>
      </w:pPr>
      <w:rPr>
        <w:rFonts w:hint="default"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8"/>
    <w:link w:val="67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8"/>
    <w:link w:val="67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8"/>
    <w:link w:val="67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8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8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8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8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8"/>
    <w:link w:val="732"/>
    <w:uiPriority w:val="99"/>
  </w:style>
  <w:style w:type="character" w:styleId="44">
    <w:name w:val="Footer Char"/>
    <w:basedOn w:val="678"/>
    <w:link w:val="734"/>
    <w:uiPriority w:val="99"/>
  </w:style>
  <w:style w:type="character" w:styleId="46">
    <w:name w:val="Caption Char"/>
    <w:basedOn w:val="719"/>
    <w:link w:val="734"/>
    <w:uiPriority w:val="99"/>
  </w:style>
  <w:style w:type="table" w:styleId="48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37"/>
    <w:uiPriority w:val="99"/>
    <w:rPr>
      <w:sz w:val="18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8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rPr>
      <w:rFonts w:ascii="Times New Roman" w:hAnsi="Times New Roman" w:eastAsia="Times New Roman" w:cs="Times New Roman"/>
    </w:rPr>
  </w:style>
  <w:style w:type="paragraph" w:styleId="673">
    <w:name w:val="Heading 1"/>
    <w:basedOn w:val="709"/>
    <w:link w:val="684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674">
    <w:name w:val="Heading 2"/>
    <w:basedOn w:val="672"/>
    <w:next w:val="672"/>
    <w:link w:val="685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75">
    <w:name w:val="Heading 3"/>
    <w:basedOn w:val="672"/>
    <w:next w:val="672"/>
    <w:link w:val="686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76">
    <w:name w:val="Heading 4"/>
    <w:basedOn w:val="672"/>
    <w:next w:val="672"/>
    <w:link w:val="687"/>
    <w:uiPriority w:val="9"/>
    <w:semiHidden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77">
    <w:name w:val="Heading 5"/>
    <w:basedOn w:val="672"/>
    <w:next w:val="672"/>
    <w:link w:val="688"/>
    <w:uiPriority w:val="9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List - 1"/>
    <w:basedOn w:val="672"/>
    <w:pPr>
      <w:numPr>
        <w:numId w:val="4"/>
      </w:numPr>
      <w:ind w:left="0" w:firstLine="0"/>
      <w:spacing w:line="360" w:lineRule="auto"/>
      <w:tabs>
        <w:tab w:val="num" w:pos="360" w:leader="none"/>
        <w:tab w:val="left" w:pos="1560" w:leader="none"/>
      </w:tabs>
    </w:pPr>
    <w:rPr>
      <w:bCs/>
    </w:rPr>
  </w:style>
  <w:style w:type="paragraph" w:styleId="682" w:customStyle="1">
    <w:name w:val="List - 2"/>
    <w:basedOn w:val="672"/>
    <w:link w:val="683"/>
    <w:pPr>
      <w:numPr>
        <w:ilvl w:val="1"/>
        <w:numId w:val="2"/>
      </w:numPr>
      <w:ind w:left="1843"/>
      <w:spacing w:line="360" w:lineRule="auto"/>
    </w:pPr>
    <w:rPr>
      <w:rFonts w:cs="Calibri"/>
      <w:szCs w:val="20"/>
    </w:rPr>
  </w:style>
  <w:style w:type="character" w:styleId="683" w:customStyle="1">
    <w:name w:val="List - 2 Char"/>
    <w:link w:val="682"/>
    <w:rPr>
      <w:rFonts w:ascii="Times New Roman" w:hAnsi="Times New Roman"/>
      <w:sz w:val="24"/>
    </w:rPr>
  </w:style>
  <w:style w:type="character" w:styleId="684" w:customStyle="1">
    <w:name w:val="Заголовок 1 Знак"/>
    <w:basedOn w:val="678"/>
    <w:link w:val="673"/>
    <w:rPr>
      <w:rFonts w:ascii="Liberation Serif" w:hAnsi="Liberation Serif" w:eastAsia="Tahoma"/>
      <w:b/>
      <w:bCs/>
      <w:sz w:val="48"/>
      <w:szCs w:val="48"/>
    </w:rPr>
  </w:style>
  <w:style w:type="character" w:styleId="685" w:customStyle="1">
    <w:name w:val="Заголовок 2 Знак"/>
    <w:basedOn w:val="678"/>
    <w:link w:val="674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86" w:customStyle="1">
    <w:name w:val="Заголовок 3 Знак"/>
    <w:basedOn w:val="678"/>
    <w:link w:val="67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687" w:customStyle="1">
    <w:name w:val="Заголовок 4 Знак"/>
    <w:basedOn w:val="678"/>
    <w:link w:val="676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688" w:customStyle="1">
    <w:name w:val="Заголовок 5 Знак"/>
    <w:basedOn w:val="678"/>
    <w:link w:val="677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689">
    <w:name w:val="Emphasis"/>
    <w:basedOn w:val="678"/>
    <w:uiPriority w:val="20"/>
    <w:qFormat/>
    <w:rPr>
      <w:i/>
      <w:iCs/>
    </w:rPr>
  </w:style>
  <w:style w:type="character" w:styleId="690" w:customStyle="1">
    <w:name w:val="Стандартный HTML Знак"/>
    <w:basedOn w:val="678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691" w:customStyle="1">
    <w:name w:val="Верхний колонтитул Знак"/>
    <w:basedOn w:val="678"/>
    <w:uiPriority w:val="99"/>
    <w:qFormat/>
  </w:style>
  <w:style w:type="character" w:styleId="692" w:customStyle="1">
    <w:name w:val="Нижний колонтитул Знак"/>
    <w:basedOn w:val="678"/>
    <w:qFormat/>
  </w:style>
  <w:style w:type="character" w:styleId="693" w:customStyle="1">
    <w:name w:val="Текст примечания Знак"/>
    <w:basedOn w:val="678"/>
    <w:qFormat/>
    <w:rPr>
      <w:sz w:val="20"/>
      <w:szCs w:val="20"/>
    </w:rPr>
  </w:style>
  <w:style w:type="character" w:styleId="694" w:customStyle="1">
    <w:name w:val="Тема примечания Знак"/>
    <w:basedOn w:val="693"/>
    <w:qFormat/>
    <w:rPr>
      <w:b/>
      <w:bCs/>
      <w:sz w:val="20"/>
      <w:szCs w:val="20"/>
    </w:rPr>
  </w:style>
  <w:style w:type="character" w:styleId="695" w:customStyle="1">
    <w:name w:val="Текст выноски Знак"/>
    <w:basedOn w:val="678"/>
    <w:qFormat/>
    <w:rPr>
      <w:rFonts w:ascii="Segoe UI" w:hAnsi="Segoe UI" w:cs="Segoe UI"/>
      <w:sz w:val="18"/>
      <w:szCs w:val="18"/>
    </w:rPr>
  </w:style>
  <w:style w:type="character" w:styleId="696" w:customStyle="1">
    <w:name w:val="Основной текст Знак"/>
    <w:basedOn w:val="678"/>
    <w:qFormat/>
  </w:style>
  <w:style w:type="character" w:styleId="697" w:customStyle="1">
    <w:name w:val="Текст сноски Знак"/>
    <w:basedOn w:val="678"/>
    <w:qFormat/>
    <w:rPr>
      <w:sz w:val="20"/>
      <w:szCs w:val="20"/>
    </w:rPr>
  </w:style>
  <w:style w:type="character" w:styleId="698" w:customStyle="1">
    <w:name w:val="Footnote Characters"/>
    <w:basedOn w:val="678"/>
    <w:qFormat/>
    <w:rPr>
      <w:vertAlign w:val="superscript"/>
    </w:rPr>
  </w:style>
  <w:style w:type="character" w:styleId="699" w:customStyle="1">
    <w:name w:val="Текст концевой сноски Знак"/>
    <w:basedOn w:val="678"/>
    <w:qFormat/>
    <w:rPr>
      <w:sz w:val="20"/>
      <w:szCs w:val="20"/>
    </w:rPr>
  </w:style>
  <w:style w:type="character" w:styleId="700" w:customStyle="1">
    <w:name w:val="Endnote Characters"/>
    <w:basedOn w:val="678"/>
    <w:qFormat/>
    <w:rPr>
      <w:vertAlign w:val="superscript"/>
    </w:rPr>
  </w:style>
  <w:style w:type="character" w:styleId="701" w:customStyle="1">
    <w:name w:val="ListLabel 1"/>
    <w:qFormat/>
    <w:rPr>
      <w:sz w:val="18"/>
      <w:szCs w:val="18"/>
    </w:rPr>
  </w:style>
  <w:style w:type="character" w:styleId="702" w:customStyle="1">
    <w:name w:val="ListLabel 2"/>
    <w:qFormat/>
    <w:rPr>
      <w:rFonts w:cs="Symbol"/>
      <w:color w:val="auto"/>
      <w:sz w:val="18"/>
      <w:szCs w:val="18"/>
    </w:rPr>
  </w:style>
  <w:style w:type="character" w:styleId="703" w:customStyle="1">
    <w:name w:val="Символ сноски"/>
    <w:qFormat/>
  </w:style>
  <w:style w:type="character" w:styleId="704" w:customStyle="1">
    <w:name w:val="Символ концевой сноски"/>
    <w:qFormat/>
  </w:style>
  <w:style w:type="character" w:styleId="705" w:customStyle="1">
    <w:name w:val="Цветовое выделение для Текст"/>
    <w:qFormat/>
    <w:rPr>
      <w:rFonts w:ascii="Times New Roman CYR" w:hAnsi="Times New Roman CYR"/>
      <w:sz w:val="24"/>
    </w:rPr>
  </w:style>
  <w:style w:type="character" w:styleId="706" w:customStyle="1">
    <w:name w:val="Гипертекстовая ссылка"/>
    <w:qFormat/>
    <w:rPr>
      <w:rFonts w:cs="Times New Roman"/>
      <w:b/>
      <w:color w:val="106bbe"/>
    </w:rPr>
  </w:style>
  <w:style w:type="character" w:styleId="707" w:customStyle="1">
    <w:name w:val="ListLabel 9"/>
    <w:qFormat/>
    <w:rPr>
      <w:rFonts w:ascii="Times New Roman" w:hAnsi="Times New Roman"/>
      <w:b w:val="0"/>
      <w:sz w:val="28"/>
      <w:szCs w:val="28"/>
      <w:lang w:val="ru-RU" w:eastAsia="ru-RU" w:bidi="ar-SA"/>
    </w:rPr>
  </w:style>
  <w:style w:type="character" w:styleId="708" w:customStyle="1">
    <w:name w:val="Символ нумерации"/>
    <w:qFormat/>
  </w:style>
  <w:style w:type="paragraph" w:styleId="709" w:customStyle="1">
    <w:name w:val="Заголовок1"/>
    <w:basedOn w:val="672"/>
    <w:next w:val="710"/>
    <w:qFormat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710">
    <w:name w:val="Body Text"/>
    <w:basedOn w:val="672"/>
    <w:link w:val="711"/>
    <w:uiPriority w:val="99"/>
    <w:semiHidden/>
    <w:unhideWhenUsed/>
    <w:pPr>
      <w:spacing w:after="120"/>
    </w:pPr>
  </w:style>
  <w:style w:type="character" w:styleId="711" w:customStyle="1">
    <w:name w:val="Основной текст Знак1"/>
    <w:basedOn w:val="678"/>
    <w:link w:val="710"/>
    <w:uiPriority w:val="99"/>
    <w:semiHidden/>
    <w:rPr>
      <w:rFonts w:ascii="Arial" w:hAnsi="Arial" w:cs="Arial"/>
      <w:sz w:val="24"/>
      <w:szCs w:val="24"/>
    </w:rPr>
  </w:style>
  <w:style w:type="paragraph" w:styleId="712" w:customStyle="1">
    <w:name w:val="Standard"/>
    <w:qFormat/>
    <w:rPr>
      <w:rFonts w:ascii="PT Sans" w:hAnsi="PT Sans" w:eastAsia="Tahoma" w:cs="Noto Sans Devanagari"/>
      <w:sz w:val="24"/>
      <w:szCs w:val="24"/>
      <w:lang w:eastAsia="zh-CN" w:bidi="hi-IN"/>
    </w:rPr>
  </w:style>
  <w:style w:type="paragraph" w:styleId="713" w:customStyle="1">
    <w:name w:val="Содержимое таблицы"/>
    <w:basedOn w:val="672"/>
    <w:qFormat/>
    <w:pPr>
      <w:suppressLineNumbers/>
    </w:pPr>
  </w:style>
  <w:style w:type="paragraph" w:styleId="714" w:customStyle="1">
    <w:name w:val="Заголовок таблицы"/>
    <w:basedOn w:val="713"/>
    <w:qFormat/>
    <w:pPr>
      <w:jc w:val="center"/>
    </w:pPr>
    <w:rPr>
      <w:b/>
      <w:bCs/>
    </w:rPr>
  </w:style>
  <w:style w:type="paragraph" w:styleId="715">
    <w:name w:val="annotation text"/>
    <w:basedOn w:val="672"/>
    <w:link w:val="716"/>
    <w:qFormat/>
    <w:rPr>
      <w:szCs w:val="20"/>
    </w:rPr>
  </w:style>
  <w:style w:type="character" w:styleId="716" w:customStyle="1">
    <w:name w:val="Текст примечания Знак1"/>
    <w:basedOn w:val="678"/>
    <w:link w:val="715"/>
    <w:rPr>
      <w:szCs w:val="20"/>
    </w:rPr>
  </w:style>
  <w:style w:type="paragraph" w:styleId="717">
    <w:name w:val="index 1"/>
    <w:basedOn w:val="672"/>
    <w:next w:val="672"/>
    <w:uiPriority w:val="99"/>
    <w:semiHidden/>
    <w:unhideWhenUsed/>
    <w:pPr>
      <w:ind w:left="220" w:hanging="220"/>
    </w:pPr>
  </w:style>
  <w:style w:type="paragraph" w:styleId="718">
    <w:name w:val="index heading"/>
    <w:basedOn w:val="672"/>
    <w:qFormat/>
    <w:pPr>
      <w:suppressLineNumbers/>
    </w:pPr>
    <w:rPr>
      <w:rFonts w:ascii="PT Sans" w:hAnsi="PT Sans" w:cs="Noto Sans Devanagari"/>
    </w:rPr>
  </w:style>
  <w:style w:type="paragraph" w:styleId="719">
    <w:name w:val="Caption"/>
    <w:basedOn w:val="672"/>
    <w:qFormat/>
    <w:pPr>
      <w:spacing w:before="120" w:after="120"/>
      <w:suppressLineNumbers/>
    </w:pPr>
    <w:rPr>
      <w:rFonts w:ascii="PT Sans" w:hAnsi="PT Sans" w:cs="Noto Sans Devanagari"/>
      <w:i/>
      <w:iCs/>
      <w:sz w:val="24"/>
      <w:szCs w:val="24"/>
    </w:rPr>
  </w:style>
  <w:style w:type="character" w:styleId="720">
    <w:name w:val="annotation reference"/>
    <w:basedOn w:val="678"/>
    <w:qFormat/>
    <w:rPr>
      <w:sz w:val="16"/>
      <w:szCs w:val="16"/>
    </w:rPr>
  </w:style>
  <w:style w:type="paragraph" w:styleId="721">
    <w:name w:val="Normal (Web)"/>
    <w:basedOn w:val="672"/>
    <w:qFormat/>
    <w:pPr>
      <w:spacing w:before="280" w:after="280"/>
    </w:pPr>
    <w:rPr>
      <w:sz w:val="24"/>
      <w:szCs w:val="24"/>
      <w:lang w:eastAsia="ru-RU"/>
    </w:rPr>
  </w:style>
  <w:style w:type="paragraph" w:styleId="722">
    <w:name w:val="HTML Preformatted"/>
    <w:basedOn w:val="672"/>
    <w:link w:val="723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Cs w:val="20"/>
      <w:lang w:eastAsia="ru-RU"/>
    </w:rPr>
  </w:style>
  <w:style w:type="character" w:styleId="723" w:customStyle="1">
    <w:name w:val="Стандартный HTML Знак1"/>
    <w:basedOn w:val="678"/>
    <w:link w:val="722"/>
    <w:rPr>
      <w:rFonts w:ascii="Courier New" w:hAnsi="Courier New" w:eastAsia="Times New Roman" w:cs="Courier New"/>
      <w:szCs w:val="20"/>
      <w:lang w:eastAsia="ru-RU"/>
    </w:rPr>
  </w:style>
  <w:style w:type="paragraph" w:styleId="724">
    <w:name w:val="annotation subject"/>
    <w:basedOn w:val="715"/>
    <w:link w:val="725"/>
    <w:qFormat/>
    <w:rPr>
      <w:b/>
      <w:bCs/>
    </w:rPr>
  </w:style>
  <w:style w:type="character" w:styleId="725" w:customStyle="1">
    <w:name w:val="Тема примечания Знак1"/>
    <w:basedOn w:val="716"/>
    <w:link w:val="724"/>
    <w:rPr>
      <w:b/>
      <w:bCs/>
      <w:szCs w:val="20"/>
    </w:rPr>
  </w:style>
  <w:style w:type="paragraph" w:styleId="726">
    <w:name w:val="Balloon Text"/>
    <w:basedOn w:val="672"/>
    <w:link w:val="727"/>
    <w:qFormat/>
    <w:rPr>
      <w:rFonts w:ascii="Segoe UI" w:hAnsi="Segoe UI" w:cs="Segoe UI"/>
      <w:sz w:val="18"/>
      <w:szCs w:val="18"/>
    </w:rPr>
  </w:style>
  <w:style w:type="character" w:styleId="727" w:customStyle="1">
    <w:name w:val="Текст выноски Знак1"/>
    <w:basedOn w:val="678"/>
    <w:link w:val="726"/>
    <w:rPr>
      <w:rFonts w:ascii="Segoe UI" w:hAnsi="Segoe UI" w:cs="Segoe UI"/>
      <w:sz w:val="18"/>
      <w:szCs w:val="18"/>
    </w:rPr>
  </w:style>
  <w:style w:type="paragraph" w:styleId="728">
    <w:name w:val="No Spacing"/>
    <w:qFormat/>
    <w:rPr>
      <w:sz w:val="22"/>
    </w:rPr>
  </w:style>
  <w:style w:type="paragraph" w:styleId="729">
    <w:name w:val="List Paragraph"/>
    <w:basedOn w:val="672"/>
    <w:uiPriority w:val="34"/>
    <w:qFormat/>
    <w:pPr>
      <w:contextualSpacing/>
      <w:ind w:left="720"/>
    </w:pPr>
  </w:style>
  <w:style w:type="table" w:styleId="730">
    <w:name w:val="Table Grid"/>
    <w:basedOn w:val="679"/>
    <w:uiPriority w:val="39"/>
    <w:rPr>
      <w:rFonts w:asciiTheme="minorHAnsi" w:hAnsiTheme="minorHAnsi" w:eastAsiaTheme="minorHAnsi" w:cstheme="minorBidi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1">
    <w:name w:val="Hyperlink"/>
    <w:basedOn w:val="678"/>
    <w:uiPriority w:val="99"/>
    <w:semiHidden/>
    <w:unhideWhenUsed/>
    <w:rPr>
      <w:color w:val="0000ff"/>
      <w:u w:val="single"/>
    </w:rPr>
  </w:style>
  <w:style w:type="paragraph" w:styleId="732">
    <w:name w:val="Header"/>
    <w:basedOn w:val="672"/>
    <w:link w:val="7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3" w:customStyle="1">
    <w:name w:val="Верхний колонтитул Знак1"/>
    <w:basedOn w:val="678"/>
    <w:link w:val="732"/>
    <w:uiPriority w:val="99"/>
    <w:rPr>
      <w:rFonts w:ascii="Times New Roman" w:hAnsi="Times New Roman" w:eastAsia="Times New Roman" w:cs="Times New Roman"/>
    </w:rPr>
  </w:style>
  <w:style w:type="paragraph" w:styleId="734">
    <w:name w:val="Footer"/>
    <w:basedOn w:val="672"/>
    <w:link w:val="7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5" w:customStyle="1">
    <w:name w:val="Нижний колонтитул Знак1"/>
    <w:basedOn w:val="678"/>
    <w:link w:val="734"/>
    <w:uiPriority w:val="99"/>
    <w:rPr>
      <w:rFonts w:ascii="Times New Roman" w:hAnsi="Times New Roman" w:eastAsia="Times New Roman" w:cs="Times New Roman"/>
    </w:rPr>
  </w:style>
  <w:style w:type="character" w:styleId="736" w:customStyle="1">
    <w:name w:val="position1"/>
    <w:basedOn w:val="678"/>
    <w:rPr>
      <w:rFonts w:hint="default" w:ascii="open_sanssemibold" w:hAnsi="open_sanssemibold"/>
      <w:sz w:val="23"/>
      <w:szCs w:val="23"/>
    </w:rPr>
  </w:style>
  <w:style w:type="paragraph" w:styleId="737">
    <w:name w:val="footnote text"/>
    <w:basedOn w:val="672"/>
    <w:link w:val="738"/>
    <w:uiPriority w:val="99"/>
    <w:semiHidden/>
    <w:unhideWhenUsed/>
    <w:rPr>
      <w:szCs w:val="20"/>
    </w:rPr>
  </w:style>
  <w:style w:type="character" w:styleId="738" w:customStyle="1">
    <w:name w:val="Текст сноски Знак1"/>
    <w:basedOn w:val="678"/>
    <w:link w:val="737"/>
    <w:uiPriority w:val="99"/>
    <w:semiHidden/>
    <w:rPr>
      <w:rFonts w:ascii="Times New Roman" w:hAnsi="Times New Roman" w:eastAsia="Times New Roman" w:cs="Times New Roman"/>
      <w:szCs w:val="20"/>
    </w:rPr>
  </w:style>
  <w:style w:type="character" w:styleId="739">
    <w:name w:val="footnote reference"/>
    <w:basedOn w:val="678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s://login.consultant.ru/link/?rnd=4F76CFA3B754175EE6B7A4131CD947A5&amp;req=doc&amp;base=LAW&amp;n=314549&amp;dst=100017&amp;fld=134&amp;date=22.01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294C-C43C-4B91-9813-DC028BE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Алексей</dc:creator>
  <cp:revision>14</cp:revision>
  <dcterms:created xsi:type="dcterms:W3CDTF">2022-07-04T12:12:00Z</dcterms:created>
  <dcterms:modified xsi:type="dcterms:W3CDTF">2022-12-27T11:06:06Z</dcterms:modified>
</cp:coreProperties>
</file>