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851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законодательства Российской Федерации о противодействии легализации (отмы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ванию) доходов, полученных преступным путем, и финансированию терроризма юридическими лицами и индивидуальными предпринимателями, осуществляющими куплю-продажу, скупку драгоценных металлов и драгоценных камней, ювелирных изделий из них и лома таких изделий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Общие положения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по соблюдению обязательных требований законодательства Российской Федерации </w:t>
      </w:r>
      <w:bookmarkStart w:id="0" w:name="_Hlk11397841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противодействии легализации (отмыванию) доходов, полученных преступным путем, и финансированию терроризма 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 – ПОД/ФТ) </w:t>
      </w:r>
      <w:r>
        <w:rPr>
          <w:rFonts w:ascii="Times New Roman" w:hAnsi="Times New Roman" w:cs="Times New Roman"/>
          <w:sz w:val="28"/>
          <w:szCs w:val="28"/>
        </w:rPr>
        <w:t xml:space="preserve">юридическими лицами и индивидуальными предпринимателями, осуществляющими  куплю-продажу, скупку драгоценных металлов и драгоценных камней, ювелирных изделий из них и лома таких изделий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 – Руководство), разработано в целях содействия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лицам и индивидуальным предпринимателям, ос</w:t>
      </w:r>
      <w:r>
        <w:rPr>
          <w:rFonts w:ascii="Times New Roman" w:hAnsi="Times New Roman" w:cs="Times New Roman"/>
          <w:sz w:val="28"/>
          <w:szCs w:val="28"/>
        </w:rPr>
        <w:t xml:space="preserve">уществляющим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купле-продаже, скупке драгоценных металлов и драгоценных камней, ювелирных изделий из них и лома таких изделий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 том числе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договор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комиссии, подряда и агентски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договор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участник оборота ДМДК, ДМДК), в организации работы по обеспечению соблюдения обязательных требований законодательства Российской Федерации о ПОД/ФТ.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Субъектами контроля являются участники оборота ДМДК, осуществляющие операции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сфере: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добычи ДМДК (на этапе реализации);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производства драгоценных металлов (далее – ДМ) (извлечение ДМ из добытых руд, из концентратов, лома и отходов ДМ) и аффинажа ДМ;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производства ювелирных изделий;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обработки (огранки) драгоценных камней (далее – ДК); 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обработки (переработки) лома и отходов ДМ;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рекуперации ДК;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оптовой торговли ДМДК (как в обработанных, так и в сырье и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полуобработанных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формах (полуфабрикатах);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оптовой торговли ДМДК (как в обработанных, так и в сырье и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полуобработанных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формах (полуфабрикатах);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торговле ювелирными изделиями (оптовая, розничная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, комиссионная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br/>
        <w:t xml:space="preserve">(в том числе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дистанционны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способ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ом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продажи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включая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реализацию ювелирных изделий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через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маркетплейсы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изготовления ювелирных изделий по индивидуальному заказу населения</w:t>
        <w:br/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(в случае, если приобретаются ДМДК, которые используются в процессе изготовления ювелирных изделий)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ремонта ювелирных изделий (в случае, если приобретаются ДМДК, которые используются в процессе ремонта ювелирных изделий);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скупки ДМДК.</w:t>
      </w:r>
      <w:r/>
    </w:p>
    <w:p>
      <w:pPr>
        <w:ind w:firstLine="850"/>
        <w:jc w:val="both"/>
        <w:spacing w:after="0" w:line="360" w:lineRule="auto"/>
        <w:tabs>
          <w:tab w:val="left" w:pos="1785" w:leader="none"/>
        </w:tabs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Перечень видов экономической деятельности в сфере оборота ДМДК, на которые распространяются обязательные требования законодательства о ПОД/ФТ, приведен в приложении № 1 к настоящему Руководству.</w:t>
      </w:r>
      <w:r/>
    </w:p>
    <w:p>
      <w:pPr>
        <w:ind w:firstLine="850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не распространяется на:</w:t>
      </w:r>
      <w:r/>
    </w:p>
    <w:p>
      <w:pPr>
        <w:ind w:firstLine="850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религиозные организации;</w:t>
      </w:r>
      <w:r/>
    </w:p>
    <w:p>
      <w:pPr>
        <w:ind w:firstLine="850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музеи;</w:t>
      </w:r>
      <w:r/>
    </w:p>
    <w:p>
      <w:pPr>
        <w:ind w:firstLine="850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bookmarkStart w:id="1" w:name="_Hlk11449569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юридических лиц и индивидуальных предпринимателей, использующих драгоценные металлы, их химические соединения, драгоценные камни </w:t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медицинских, научно-исследовательских целях;</w:t>
      </w:r>
      <w:r/>
    </w:p>
    <w:p>
      <w:pPr>
        <w:ind w:firstLine="850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юридических лиц и индивидуальных предпринимателей, использующих</w:t>
      </w:r>
      <w:r>
        <w:rPr>
          <w:rFonts w:ascii="Times New Roman" w:hAnsi="Times New Roman" w:cs="Times New Roman"/>
          <w:color w:val="000000"/>
          <w:sz w:val="28"/>
        </w:rPr>
        <w:t xml:space="preserve"> драгоценные металлы, их химические соединения, драгоценные камни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инструментов, приборов, оборудования и изделий производственно-технического назначения.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firstLine="850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firstLine="851"/>
        <w:jc w:val="center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Операции, подлежащие контролю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none"/>
        </w:rPr>
        <w:t xml:space="preserve">Для целей настоящего Руководства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none"/>
        </w:rPr>
        <w:t xml:space="preserve">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 операциям, подлежащим контролю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, относятся операции обязательного контроля и необычные (подозрительные) операции.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К операциям обязательного контроля относятся: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купля-прод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ажа, скупка ДМДК, ювелирных изделий из них и лома таких изделий на сумму, равную или превышающую 1 млн рублей или равную сумме в иностранной валюте,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 эквивалентной 1 млн рублей,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 или превышающей ее,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br/>
        <w:t xml:space="preserve">а также если по одному договору купли-продажи или скупки, заключенному с одним и тем же контрагентом (клиентом), сумма совершенных операций равна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или превышает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 млн рублей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 или равна сумме в иностранной валюте,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 эквивалентной </w:t>
        <w:br/>
        <w:t xml:space="preserve">1 млн рублей,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 или превышает ее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зачисление или перевод на счет денежных 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редств, предоставление или получение кредита (займа), операции с ценными бумагами, если одной из сторон сделки является физическое или юридическое лицо, имеющее, соответственно, регистрацию, место жительства или место нахождения в Исламской Республике Иран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 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(ил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и) в Корейской Народно-Демократической Республике, либо если указанные операции проводятся с использованием счета в банке, зарегистрированном в указанных государствах (на указанных территориях), если сумма такого перевода равна или превышает 1 млн рублей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или равна сумме в иностранной валюте,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 эквивалентной 1 млн рублей,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 или превышает ее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предоставление участником оборота ДМДК другим юридическим и физическим лицам или получение участником оборота ДМДК беспроцентных займов от юридических лиц, не являющимися кредитными организациями, либо физических лиц, если сумма займа равна или превышает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1 млн рублей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или равна сумме в иностранной валюте,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 эквивалентной 1 млн рублей,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 или превышает ее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none"/>
        </w:rPr>
        <w:t xml:space="preserve">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получение или расходование некоммерческой организацией денежных средств и (или) иного имущества вне зависимости от суммы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получение юридическим лицом, индивидуальным предпринимателем или физическим лицом, включенными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none"/>
        </w:rPr>
        <w:t xml:space="preserve">перечни организаций и физических лиц, в отношении которых имеются сведения об их причастности к экстремистской деятельности, терроризму или к распространению оружия массового уничтожения (далее – Перечни),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none"/>
        </w:rPr>
        <w:t xml:space="preserve"> и (или)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none"/>
        </w:rPr>
        <w:t xml:space="preserve">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(далее – решение МВК)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, денежных средств и (или) иного имущества вне зависимости от суммы.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none"/>
        </w:rPr>
        <w:t xml:space="preserve">Участником оборота ДМДК сумма в российских рублях по операции обязательного контроля, совершенной в иностранной валюте,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none"/>
        </w:rPr>
        <w:t xml:space="preserve">определяется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по официальному курсу Центрального банка Российской Федерации, действующему на дату совершения такой операции.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необычным (подозрительным) операциям относятся операции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которых у участ</w:t>
      </w:r>
      <w:r>
        <w:rPr>
          <w:rFonts w:ascii="Times New Roman" w:hAnsi="Times New Roman" w:cs="Times New Roman"/>
          <w:sz w:val="28"/>
          <w:szCs w:val="28"/>
        </w:rPr>
        <w:t xml:space="preserve">ника обо</w:t>
      </w:r>
      <w:r>
        <w:rPr>
          <w:rFonts w:ascii="Times New Roman" w:hAnsi="Times New Roman" w:cs="Times New Roman"/>
          <w:sz w:val="28"/>
          <w:szCs w:val="28"/>
        </w:rPr>
        <w:t xml:space="preserve">рота ДМДК (их сотрудников) возникают подозрения, что они осуществляются в целях легализации (отмывания) доходов, полученных преступным путем, или финансирования терроризма. Для выявления необычных (подозрительных) операций участник оборота ДМДК использует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справочник кодов видов признаков необычных (подозрительных) операций</w:t>
      </w:r>
      <w:r>
        <w:rPr>
          <w:rStyle w:val="1157"/>
          <w:rFonts w:ascii="Times New Roman" w:hAnsi="Times New Roman" w:cs="Times New Roman"/>
          <w:sz w:val="28"/>
          <w:szCs w:val="28"/>
          <w:highlight w:val="white"/>
        </w:rPr>
        <w:footnoteReference w:id="2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приведенный в приложении № 2 к настоящему Руководству.</w:t>
      </w:r>
      <w:r/>
    </w:p>
    <w:p>
      <w:pPr>
        <w:ind w:firstLine="851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851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Организация внутреннего контроля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Участник оборота ДМДК организовывает внутренний контроль в целях исполнения обязательных требований законодательства о ПОД/ФТ.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Для этого необходимо: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зарегистрировать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 личный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кабинет на официальном сайте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Росфинмониторинга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(далее – сеть «Интернет»);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разработать и утвердить правила внутреннего контроля </w:t>
        <w:br/>
        <w:t xml:space="preserve">(далее – ПВК);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назначить специальное должностное лицо (далее – СДЛ).</w:t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left="720"/>
        <w:jc w:val="center"/>
        <w:spacing w:after="0" w:line="360" w:lineRule="auto"/>
        <w:tabs>
          <w:tab w:val="left" w:pos="99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Регистрация личного кабинета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взаимодействия с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Росфинмониторинг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участник оборота ДМДК регистрирует личный кабинет на официальном сайте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Росфинмониторинга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оформив заявление</w:t>
      </w:r>
      <w:r>
        <w:rPr>
          <w:rStyle w:val="1157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, подписанное усиленной квалифицированной электронной подписью (далее – УКЭП).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отсутствие у участника оборота ДМ</w:t>
      </w:r>
      <w:r>
        <w:rPr>
          <w:rFonts w:ascii="Times New Roman" w:hAnsi="Times New Roman" w:cs="Times New Roman"/>
          <w:sz w:val="28"/>
          <w:szCs w:val="28"/>
        </w:rPr>
        <w:t xml:space="preserve">ДК личного кабинета предусмотрена административная ответственность по части 1 статьи 15.27 Кодекса Российской Федерации об административных правонарушениях (далее – КоАП РФ) в виде предупреждения или административного штрафа на должностных лиц (руководител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лица) в размере от 10 тыс. руб. до 30 тыс. руб.; на юридических лиц (индивидуальных предпринимателей) – от 50 тыс. руб. </w:t>
        <w:br/>
        <w:t xml:space="preserve">до 100 тыс. руб.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Разработка правил внутреннего контроля</w:t>
      </w:r>
      <w:r/>
    </w:p>
    <w:p>
      <w:pPr>
        <w:ind w:firstLine="709"/>
        <w:jc w:val="both"/>
        <w:spacing w:after="0" w:line="360" w:lineRule="auto"/>
        <w:tabs>
          <w:tab w:val="left" w:pos="850" w:leader="none"/>
          <w:tab w:val="left" w:pos="992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оборота ДМДК утверждает ПВК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любой форме на усмотрение участника оборота ДМДК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(например,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непосредственно сами ПВК или в форме отдельного приказа об их утверждении).</w:t>
      </w:r>
      <w:r>
        <w:rPr>
          <w:highlight w:val="white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ПВК разрабатываются самостоятельно и оформляются на бумажном носителе или в виде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документа. ПВК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носителе подписываются руководителем юридического лица, индивидуальным предпринимателем и заверяются печатью (при наличии). Приказы в виде электронного документа подписываются УКЭП руководителя юридического лица,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ПВК – внутренний документ участника оборота ДМДК, который регламентирует организацию работы по ПОД/ФТ, устанавливает обязанности и порядок действий руковод</w:t>
      </w:r>
      <w:r>
        <w:rPr>
          <w:rFonts w:ascii="Times New Roman" w:hAnsi="Times New Roman" w:cs="Times New Roman"/>
          <w:sz w:val="28"/>
          <w:szCs w:val="28"/>
        </w:rPr>
        <w:t xml:space="preserve">ителя юридического лица, индивид</w:t>
      </w:r>
      <w:r>
        <w:rPr>
          <w:rFonts w:ascii="Times New Roman" w:hAnsi="Times New Roman" w:cs="Times New Roman"/>
          <w:sz w:val="28"/>
          <w:szCs w:val="28"/>
        </w:rPr>
        <w:t xml:space="preserve">уального предпринимателя, их сотрудников в целях осуществления внутреннего контроля за соблюдением законодательства о ПОД/ФТ, определяет сроки выполнения обязанностей в целях осуществления внутреннего контроля, а также лиц, ответственных за их реализацию.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ПВК должны включать в себя следующие программы: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организации внутреннего контроля;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идентификации клиентов, представителей клиентов и (или) выгодоприобретателей, а также бенефициарных владельцев;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</w:rPr>
        <w:t xml:space="preserve">оценки степени (уровня) риска совершения клиентом необычных (подозрительных) операций и принятия мер по снижению рисков совершения клиентом необычных (подозрительных) операций;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выявления операций (сделок), подлежащих обязательному контролю, и необычных (подозрительных) сделок;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документального фиксирования информации;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регламентирующая порядок работы по приостановлению операций;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подготовки и обучения кадров в сфере ПОД/ФТ;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проверки осуществления внутреннего контроля;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хранения информации и документов, полученных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 осуществления внутреннего контроля в целях</w:t>
      </w:r>
      <w:r>
        <w:rPr>
          <w:rFonts w:ascii="Times New Roman" w:hAnsi="Times New Roman" w:cs="Times New Roman"/>
          <w:sz w:val="28"/>
          <w:szCs w:val="28"/>
        </w:rPr>
        <w:t xml:space="preserve"> ПОД/ФТ;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изучения клиента при приеме на обслуживание и обслуживании;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регламентирующая порядок действий в случае отказа в совершении операц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ии, а также отказа в приеме клиента на обслуживание;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регламентирующая порядок применения мер по замораживанию (блокированию) денежных средств или иного имущества.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В случае вступления в силу новых нормативных правовых актов в сфере ПОД/ФТ, затрагивающих обязанности участников оборота ДМДК, либо внесения изменений в действующие нормативн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ые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правовые акты в сфере ПОД/ФТ, участником оборота ДМДК приводятся ПВК в соответствие с требованиями указанных нормативн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ых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правовых актов не позднее 1 месяца после даты их вступления в силу.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 отсутствие или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неактуализ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ацию</w:t>
      </w:r>
      <w:r>
        <w:rPr>
          <w:rFonts w:ascii="Times New Roman" w:hAnsi="Times New Roman" w:cs="Times New Roman"/>
          <w:sz w:val="28"/>
          <w:szCs w:val="28"/>
        </w:rPr>
        <w:t xml:space="preserve"> в связи с изменением законодательства о ПОД/ФТ ПВК, а также за отсутствие в них необходимых программ предусмотрена административная ответственность по части 1 статьи 15.27 КоАП РФ в виде предупреждения </w:t>
      </w:r>
      <w:r>
        <w:rPr>
          <w:rFonts w:ascii="Times New Roman" w:hAnsi="Times New Roman" w:cs="Times New Roman"/>
          <w:sz w:val="28"/>
          <w:szCs w:val="28"/>
        </w:rPr>
        <w:t xml:space="preserve">или административного штрафа от 10 тыс. руб. до 30 тыс. руб. на должностных лиц (СДЛ или руководителя юридического лица, если не назначено СДЛ); на юридических лиц (индивидуальных предпринимателей) – административный штраф от 50 тыс. руб. до 100 тыс. руб.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3.3. Назначение специального должностного лица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Лицом, ответственным за соблюдение обязательных требований законодательства о ПОД/ФТ,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является руководитель юридического лица, индивидуальный предприниматель, а в случае назначения СДЛ, ответственность возлагается на СДЛ. СДЛ назначается отдельным приказом участника оборота ДМДК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Приказ о назначении СДЛ разрабатывается участником оборота ДМДК и оформляется на бума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жном носителе или в виде эле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ктронного документа. Приказ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бумажном носителе подписывается руководителем юридического лица, индивидуальным предпринимателем и заверяется печатью (при наличии). Приказ в виде электронного документа подписывается УКЭП руководителя юридического лица, индивидуального предпринимателя.</w:t>
      </w:r>
      <w:r>
        <w:rPr>
          <w:highlight w:val="white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Полномочия и обязанности, возлагаемые на СДЛ, устанавливаются в ПВК.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3.3.1. Требования к специальному должностном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 лицу</w:t>
      </w: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СДЛ предъявляются следующие квалификационные требования: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наличие высшего образования по специальностям, направлениям подготовки, относящимся к укрупненной группе специальностей, направлений подготовки «Экономика и управление», либо по направлению подготовки «Юриспруденция»,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 отсутствии указанного образования - наличие опыта работы не менее 2 лет на должностях, связанных с исполнением обязанностей по ПОД/ФТ;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б) прохождение обучения в целях ПОД/ФТ.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Индивидуальные предприниматели могут самостоятельно осуществлять функции СДЛ при прохождении обучения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 в целях ПОД/ФТ.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СДЛ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, ответственным за реализацию ПВК, не может быть лицо, имеющее неснятую или непогашенную судимость за преступления в сфере экономики или преступления против государственной власти.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До начала осуществления функций в качестве СДЛ сотрудник участника оборота ДМДК (либо сам участник оборота ДМДК, если это индивидуальный предприниматель) обязан пройти обучение в форме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целевого инструктажа в одной из организаций,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 на сайте Автономной некоммерческой организации «Международный учебно-методический центр финансового мониторинга» по адресу: </w:t>
      </w:r>
      <w:hyperlink r:id="rId13" w:tooltip="https://mumcfm.ru/partners" w:history="1">
        <w:r>
          <w:rPr>
            <w:rStyle w:val="115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https://mumcfm.ru/partners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По итогам обучения</w:t>
      </w:r>
      <w:r>
        <w:rPr>
          <w:rFonts w:ascii="Times New Roman" w:hAnsi="Times New Roman" w:eastAsia="Times New Roman" w:cs="Times New Roman"/>
          <w:color w:val="000000" w:themeColor="text1"/>
          <w:sz w:val="28"/>
          <w:highlight w:val="white"/>
        </w:rPr>
        <w:t xml:space="preserve"> в форме целевого инструктажа выдается свидетельство серии «ЦИ» с шестизначным уникальным номером (например, ЦИ № 000001).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отсутствие СДЛ либо несоответствие СДЛ квалификационным требованиям предусмотрена администра</w:t>
      </w:r>
      <w:r>
        <w:rPr>
          <w:rFonts w:ascii="Times New Roman" w:hAnsi="Times New Roman" w:cs="Times New Roman"/>
          <w:sz w:val="28"/>
          <w:szCs w:val="28"/>
        </w:rPr>
        <w:t xml:space="preserve">тивная ответственность по части </w:t>
      </w:r>
      <w:r>
        <w:rPr>
          <w:rFonts w:ascii="Times New Roman" w:hAnsi="Times New Roman" w:cs="Times New Roman"/>
          <w:sz w:val="28"/>
          <w:szCs w:val="28"/>
        </w:rPr>
        <w:t xml:space="preserve">1</w:t>
        <w:br/>
      </w:r>
      <w:r>
        <w:rPr>
          <w:rFonts w:ascii="Times New Roman" w:hAnsi="Times New Roman" w:cs="Times New Roman"/>
          <w:sz w:val="28"/>
          <w:szCs w:val="28"/>
        </w:rPr>
        <w:t xml:space="preserve">статьи 15.27 КоАП РФ в виде предупреждения или административного штрафа на должностных лиц (руководителя юридического лица) в размере от 10 тыс. руб. до 30 тыс. руб.; на юридических лиц (индивидуальных предпринимателей) – </w:t>
        <w:br/>
        <w:t xml:space="preserve">от 50 тыс. руб. до 100 тыс. руб.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Осуществление внутреннего контроля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Комплекс мер по внутреннему контролю должен включать в себя: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процедуры идентификации;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информирование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Росфинмониторинг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выявленных операциях, подлежащих контролю;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информирование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Росфинмониторин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замораживании (блокировании) денежных средств или иного имущества;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информирование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Росфинмониторинг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отказе в совершении операции;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t xml:space="preserve">хранение информации, в том числе сведений, необходимых для осуществления процедуры идентификации;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обеспечение конфиденциальности информации, полученной в результате реализации правил внутреннего контроля;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проведение обучения сотрудников участника оборота ДМДК;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информирование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Росфинмониторинг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результатах проведения проверки контрагентов (клиентов) по Перечням и (или) решениям МВК.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Осуществление процедуры идентификации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 процедурой идентификации понимается совокупность проводимых участником оборота ДМДК мероприятий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установлению сведений 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клиентах, их представителях, выгодоприобретателях, бенефициарных владельцах и подтверждению достоверности этих сведений с использованием оригиналов документов и (или) надлежащим образом заверенных копий и (или) государственных и иных информационных систем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Процедура идентификации осуществляется участником оборота ДМДК в отношении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потенциального контрагента (клиента), с которым планируется осуществлять операции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Процедура идентификации проводится поставщиком ДМДК, скупщиком, комиссионером, агентом.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сделках с физическими лицами идентификация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потенциального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контрагента (клиента) проводится во всех случаях, за исключением продажи ювелирного изделия из ДМДК физическому лицу на сумму, не превышающую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40 тыс. рублей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или сумму в иностранной валюте,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 эквивалентной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none"/>
        </w:rPr>
        <w:t xml:space="preserve"> 40 тыс. рублей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наличный расчет или 200 тыс. рублей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или сумму в иностранной валюте,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 эквивалентной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none"/>
        </w:rPr>
        <w:t xml:space="preserve"> 200 тыс. рублей,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оплате банковской картой.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процедуры идентификации контрагента (клиента) необходимо установить его идентификационные данные</w:t>
      </w:r>
      <w:r>
        <w:rPr>
          <w:rStyle w:val="1157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и проверить: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актуальные сведения в </w:t>
      </w:r>
      <w:r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юридических лиц (далее – ЕГРЮЛ)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индивидуальных предпринимателей (далее – ЕГРИП)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потенциального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контрагента (клиента) в реестре юридических лиц и индивидуальных предпринимателей, осуществляющих операции с драгоценными металлами и драгоценными камнями;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наличие у потенциального контрагента (клиента) лицензии на скупку ювелирных и других изделий из ДМДК и лома таких изделий, и (или) на осуществление деятельности по обработке (переработке) лома и отходов ДМДК 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(в случае, если коды </w:t>
      </w:r>
      <w:r>
        <w:rPr>
          <w:rFonts w:ascii="Times New Roman" w:hAnsi="Times New Roman" w:cs="Times New Roman"/>
          <w:sz w:val="28"/>
          <w:szCs w:val="28"/>
        </w:rPr>
        <w:t xml:space="preserve">согласно Общероссийскому классификатору видов экономической деятельности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содержатся в ЕГРЮЛ или в ЕГРИП потенциального контрагента (клиента);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наличие потенциального контрагента (клиента) в Перечнях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 (или) решениях МВК;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</w:rPr>
        <w:t xml:space="preserve">наличие у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потенциальных </w:t>
      </w:r>
      <w:r>
        <w:rPr>
          <w:rFonts w:ascii="Times New Roman" w:hAnsi="Times New Roman" w:cs="Times New Roman"/>
          <w:sz w:val="28"/>
          <w:szCs w:val="28"/>
        </w:rPr>
        <w:t xml:space="preserve">контрагентов (клиентов) регистрации, места жительства, фактического места нахождения и (или) счета в банке на территории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Исламской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Иран и (или) 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орейской Народно-Демократической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 осуществлен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ии процедуры идентификации оценивается уровень риска потенциального контрагента (клиента) на основании программы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оценки степени (уровня) риска совершения клиентом необычных (подозрительных) операций и принятия мер по снижению рисков совершения клиентом необычных (подозрительных) операций,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включенной в ПВК.</w:t>
      </w:r>
      <w:r>
        <w:rPr>
          <w:highlight w:val="white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highlight w:val="white"/>
        </w:rPr>
        <w:t xml:space="preserve">В целях определения уровня риска участник оборота ДМДК использует одну или совокупность следующих категорий рисков: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highlight w:val="white"/>
        </w:rPr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ст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рановые риски - риски, связанные со странами и отдельными географическими территориями (имеются сведения о высоком уровне коррупции либо о ненадлежащих системах ПОД/ФТ в стране, либо высокая террористическая активность, например, Кения, Боливия, Колумбия);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highlight w:val="white"/>
        </w:rPr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клиентские риски - риски, связанные с клиентами (сложная структура собственности (например, продолжительные «цепочки» взаимозависимых учредителей – юридических лиц), непродолжительный перио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д работы (менее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 1 года с даты государственной регистрации), число сотрудников или организационная структура не соответствуют размерам или характеру деятельности клиента (например, у организации много филиалов в разных городах при штатной численности 2-3 человека и др.).;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highlight w:val="white"/>
        </w:rPr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операционные риски - риски, связанные с продукцией (например, лом и отходы ДМ), услугами (например, комиссионер), каналами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 поставок и операциями (сделками), совершаемыми клиентом (например, трансграничные операции, операции, приводящие к возникновению крупных сумм наличности (скупка, заготовка лома ДМ), платежи, получаемые от несвязанных или неизвестных третьих сторон и др.).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highlight w:val="white"/>
        </w:rPr>
        <w:t xml:space="preserve">Также участник оборота ДМДК может использовать дополнительные категории рисков.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highlight w:val="white"/>
        </w:rPr>
        <w:t xml:space="preserve">Участник оборота ДМДК разрабатывает 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методику оценки степени (уровня) риска при приеме на обслуживание клиента и отнесения клиента к группе риска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,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 которая позволит на основании категорий рисков производить ранжирование потенциальных контрагентов (клиентов) по следующим уровням риска: 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высокий, 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средний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,</w:t>
      </w:r>
      <w:r>
        <w:rPr>
          <w:rFonts w:ascii="Times New Roman" w:hAnsi="Times New Roman" w:eastAsia="Times New Roman" w:cs="Times New Roman"/>
          <w:sz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низкий.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Решение об отнесении 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потенциального контрагента (клиента)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 определенному уровню риска принимается на основании мотивированного суждения, сформированного по итогам анализа полученных участником оборота ДМДК сведений о 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потенциальном контрагенте (клиенте),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представителе 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потенциального контрагента (клиента)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выгодоприобретателе и бенефициарном владельце и об операциях, совершаемых 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потенциальным контрагентом (клиентом)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либо в интересах </w:t>
      </w:r>
      <w:r>
        <w:rPr>
          <w:rFonts w:ascii="Times New Roman" w:hAnsi="Times New Roman" w:eastAsia="Times New Roman" w:cs="Times New Roman"/>
          <w:sz w:val="28"/>
          <w:highlight w:val="white"/>
        </w:rPr>
        <w:t xml:space="preserve">потенциального контрагента (клиента)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 носит субъективно-оценочный характер</w:t>
      </w:r>
      <w:r>
        <w:rPr>
          <w:rStyle w:val="1157"/>
          <w:rFonts w:ascii="Times New Roman" w:hAnsi="Times New Roman" w:cs="Times New Roman"/>
          <w:sz w:val="28"/>
          <w:szCs w:val="28"/>
          <w:highlight w:val="white"/>
        </w:rPr>
        <w:footnoteReference w:id="5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случае, если потенциальным контрагентом (клиентом) является организация,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регистрация и (или)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счета котор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ой находятся в банке на территории Исламской Республики Иран и (или) Корейской Народно-Демократической Республики, то такому потенциальному контрагенту (клиенту) рекомендуется присваивать высокий уровень риска, вне зависимости от остальных категорий риска.</w:t>
      </w:r>
      <w:r>
        <w:rPr>
          <w:highlight w:val="white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Если потенциальным контрагентом (клиентом) является публичное должностное лицо (может выявляться в розничной торговле), то ему рекомендуется присваивать средний уровень риска.</w:t>
      </w:r>
      <w:r>
        <w:rPr>
          <w:highlight w:val="white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 присвоения потенциальному контрагенту (клиенту) высокого уровня риска участник оборота ДМДК дополнительно изучает сведения: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 деловой репутации </w:t>
      </w:r>
      <w:r>
        <w:rPr>
          <w:rFonts w:ascii="Times New Roman" w:hAnsi="Times New Roman" w:cs="Times New Roman"/>
          <w:sz w:val="28"/>
          <w:szCs w:val="28"/>
        </w:rPr>
        <w:t xml:space="preserve">контрагент</w:t>
      </w:r>
      <w:r>
        <w:rPr>
          <w:rFonts w:ascii="Times New Roman" w:hAnsi="Times New Roman" w:cs="Times New Roman"/>
          <w:sz w:val="28"/>
          <w:szCs w:val="28"/>
        </w:rPr>
        <w:t xml:space="preserve">а (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клиента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источниках происхождения денежных средств и (или) иного имущества клиента;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 финансовом положении.</w:t>
      </w:r>
      <w:r/>
    </w:p>
    <w:p>
      <w:pPr>
        <w:contextualSpacing/>
        <w:ind w:firstLine="720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 непредоставлении указанных сведений участник оборота ДМДК отказывает потенциальному контрагенту (клиенту) в заключении договора.</w:t>
      </w:r>
      <w:r/>
    </w:p>
    <w:p>
      <w:pPr>
        <w:contextualSpacing/>
        <w:ind w:firstLine="720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Решение о запросе дополнительных сведений в отношении потенциального контрагента (клиента), которому присвоен средний уровень риска, участником оборота ДМДК принимается самостоятельно.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 заключения договора с контрагентом (клиен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том), которому присвоен высокий или средний уровень риска, участник оборота ДМДК уделяет особое внимание операциям, совершаемым с таким контрагентом (клиентом), на предмет их признания необычными (подозрительными) и информирования Росфинмониторинга.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осуществления процедуры идентифи</w:t>
      </w:r>
      <w:r>
        <w:rPr>
          <w:rFonts w:ascii="Times New Roman" w:hAnsi="Times New Roman" w:cs="Times New Roman"/>
          <w:sz w:val="28"/>
          <w:szCs w:val="28"/>
        </w:rPr>
        <w:t xml:space="preserve">кации потенциального контрагента (клиента) участником оборота ДМДК составляется анкета, ему присваивается определенный уровень риска и принимается решение о возможности или невозможности заключить договор. Решение об отказе в заключении договора принимает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руководитель юридического лица, индивидуальный предприниматель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или специально уполномоченные ими лица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(например СДЛ, руководитель филиала, бухгалтер, эксперт (в скупке), продавец в ювелирном магазине и т.д.).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контрагента (клиента) участником оборота ДМДК формируется досье, в которое включается анкет</w:t>
      </w:r>
      <w:r>
        <w:rPr>
          <w:rFonts w:ascii="Times New Roman" w:hAnsi="Times New Roman" w:cs="Times New Roman"/>
          <w:sz w:val="28"/>
          <w:szCs w:val="28"/>
        </w:rPr>
        <w:t xml:space="preserve">а и документы, полученные при осуществлении участником оборота ДМДК процедуры идентификации и обновлении сведений о нем. Участник оборота ДМДК хранит досье контрагента (клиента) не менее 5 лет со дня прекращения отношений с контрагентом (клиентом).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оборота ДМДК обновляет информацию о контрагенте (клиенте) не реже 1 раза в 3 года (для контрагентов (клиентов), отнесенны</w:t>
      </w:r>
      <w:r>
        <w:rPr>
          <w:rFonts w:ascii="Times New Roman" w:hAnsi="Times New Roman" w:cs="Times New Roman"/>
          <w:sz w:val="28"/>
          <w:szCs w:val="28"/>
        </w:rPr>
        <w:t xml:space="preserve">х к низкому уровню риска) или не реже 1 раза в 1 год (для остальных контрагентов (клиентов), а в случае возникновения сомнений в достоверности и точности ранее полученной информации – в течение 7 рабочих дней, следующих за днем возникновения этих сомнений.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непрове</w:t>
      </w:r>
      <w:r>
        <w:rPr>
          <w:rFonts w:ascii="Times New Roman" w:hAnsi="Times New Roman" w:cs="Times New Roman"/>
          <w:sz w:val="28"/>
          <w:szCs w:val="28"/>
        </w:rPr>
        <w:t xml:space="preserve">дение участником оборота ДМДК процедуры идентификации или ненадлежащее проведение процедуры идентификации, несвоевременное обновление сведений о контрагентах (клиентах) предусмотрена административная ответственность по части 1 статьи 15.27 КоАП РФ в виде п</w:t>
      </w:r>
      <w:r>
        <w:rPr>
          <w:rFonts w:ascii="Times New Roman" w:hAnsi="Times New Roman" w:cs="Times New Roman"/>
          <w:sz w:val="28"/>
          <w:szCs w:val="28"/>
        </w:rPr>
        <w:t xml:space="preserve">редупреждения или административного штрафа на должностных лиц (СДЛ или руководителя юридического лица, если не назначено СДЛ) в размере от 10 тыс. руб. до 30 тыс. руб.; на юридических лиц (индивидуальных предпринимателей) – от 50 тыс. руб. до 100 тыс. руб.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shd w:val="nil" w:color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851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Информирование Росфинмониторинга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совершении операции, подлежащей контролю, направляется в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Росфинмониторинг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формализованного электронного сообщения (ФЭС) участником оборота ДМДК, являющимся: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продавцом в рамках исполнения условий договора купли - продажи ДМДК;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комиссионером в рамках исполнения условий договора комиссии на реализацию ДМДК;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агентом в рамках исполнения условий агентского договора в случае,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если агент действует от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своего имени и за счет принципала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Если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агент действует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от имени и за счет принципала, то обязанность отчитываться в Росфинмониторинг об операциях, подлежащих контролю, возникает непосредственно у принципала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скупщиком - при скупке ДМДК у физических лиц, а также при реализации скупленных ценностей;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изготовителем ювелирных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изделий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лицом, осуществляющим ремонт (в случае, если при производстве или ремонте ювелирных изделий по договору подряда на давальческой основе подрядчик помимо материала заказчика использует собственное сырье и стоимость материалов подрядчика равна или превышает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млн рублей или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 сумме в иностранной валюте,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 эквивалентной</w:t>
        <w:br/>
        <w:t xml:space="preserve">1 млн рублей,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 xml:space="preserve"> или превышает 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</w:t>
      </w:r>
      <w:r>
        <w:rPr>
          <w:rStyle w:val="1157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ФЭС осуществляется участниками оборота ДМДК с помощью программного функционала личного кабинета на официальном сайте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Росфинмониторинг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«Интернет»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представления информации о совершенной операции, подлежащей контролю, участник оборота ДМДК заполняет интерактивную форму ФЭС, размещенную в личном кабинете на сайте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Росфинмониторинг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«Интернет»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ФЭС подписывается УКЭП участника оборота ДМДК либо руководителя юридического лица, либо СДЛ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участника оборота ДМДК.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случае невозможности представления ФЭС в </w:t>
      </w:r>
      <w:bookmarkStart w:id="2" w:name="_Hlk114099639"/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Росфинмониторинг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посредством личного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абинета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Росфинмониторинг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«Интернет»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устранения причин, препятствующих представлению ФЭС, участник оборота ДМДК может представлять машинный (оптический или цифровой) носитель информации, содержащий ФЭС, с приложением сопроводительного письма на бумажном носителе. 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ФЭС, размещаемое на машинном (оптическом или цифровом) носителе информации, не требует подписания УКЭП.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Сопроводительное письмо направляется в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Росфинмониторинг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нарочным или заказным почт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овым отправлением с уведомлением о вручении. Сопроводительное письмо и машинный (оптический или цифровой) носитель информации помещаются в упаковку, исключающую возможность их повреждения или извлечения информации из них без нарушения целостности упаковки.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Сопроводительное письмо должно содержать следующую информацию об участнике оборота ДМДК: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адрес;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контактный телефон;</w:t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имя, отчество (при наличии), а также подпись руководителя юридического лица, индивидуального предпринимателя либо СДЛ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юридического лица, индивидуального предпринимателя.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ind w:firstLine="851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непредставление участником оборота ДМДК информации в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Росфинмониторинг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рации, подлежащей контролю, или предоставление недостоверной информации о такой операции предусмотрена административная ответственность по части 2 статьи 15.27 КоАП РФ в виде административного штрафа на должностных лиц (СДЛ или руководителя юридического 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ца, если не назначен СДЛ) в размере от 30 тыс. руб. до 50 тыс. рублей; на юридических лиц (индивидуальных предпринимателей) - штраф от 200 тыс. руб. до 400 тыс. руб. или административное приостановление деятельности на срок до 60 суток (назначается судом).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нарушение установленного порядка и срока представления участником оборота ДМДК информации в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Росфинмониторинг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операции, подлежащей контролю, предусмотрена администр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ативная ответственность по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  <w:br/>
        <w:t xml:space="preserve">статьи 15.27 КоАП РФ в виде предупреждения или административного штрафа на должностных лиц (СДЛ или руководителя юридического лица, если не назначен СДЛ)  в размере от 10 тыс. руб. до 30 тыс. руб.; на юридических лиц (индивидуальных предпринимателей)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50 тыс. руб. до 100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4.3. Обучение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сотрудников участника оборота ДМДК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оборота ДМДК отдельным приказом утверждает перечень сотрудников, которые должны проходить обучение в целях ПОД/ФТ.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проводится в следующих формах: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целевой инструктаж;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вводный инструктаж;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дополнительный инструктаж;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повышение уровня знаний.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инструктаж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проводится в одной из организаций,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которых размещен на сайте Автономной некоммерческой организации «Международный учебно-методический центр финансового мониторинга» по адресу: </w:t>
      </w:r>
      <w:hyperlink r:id="rId14" w:tooltip="https://mumcfm.ru/partners" w:history="1">
        <w:r>
          <w:rPr>
            <w:rStyle w:val="115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https://mumcfm.ru/partners</w:t>
        </w:r>
      </w:hyperlink>
      <w:r>
        <w:rPr>
          <w:rFonts w:ascii="Times New Roman" w:hAnsi="Times New Roman" w:cs="Times New Roman"/>
          <w:sz w:val="28"/>
          <w:szCs w:val="28"/>
          <w:u w:val="none"/>
        </w:rPr>
        <w:t xml:space="preserve">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инструктаж обязаны пройти однократно следующие сотрудники участника оборота ДМДК: руководитель, главный </w:t>
      </w:r>
      <w:r>
        <w:rPr>
          <w:rFonts w:ascii="Times New Roman" w:hAnsi="Times New Roman" w:cs="Times New Roman"/>
          <w:sz w:val="28"/>
          <w:szCs w:val="28"/>
        </w:rPr>
        <w:t xml:space="preserve">бухгалтер (бухгалтер)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должности в штате) либо сотрудник, осуществляющий функции по ведению бухгалтерского учета, руководитель юридического подразделения либо юрист (при наличии должности в штате).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планирующее осуществлять функции СДЛ, проходит целевой инструктаж однократно до начала осуществления таких функций.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СДЛ проводит вводный и дополнительный инструктажи других сотрудников участника оборота ДМДК</w:t>
      </w:r>
      <w:r>
        <w:rPr>
          <w:rStyle w:val="1157"/>
          <w:rFonts w:ascii="Times New Roman" w:hAnsi="Times New Roman" w:cs="Times New Roman"/>
          <w:sz w:val="28"/>
          <w:szCs w:val="28"/>
          <w:highlight w:val="white"/>
        </w:rPr>
        <w:footnoteReference w:id="7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highlight w:val="white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Вводный инструктаж проводится СДЛ при приеме на работу сотрудников участников оборота ДМДК, обязанных проходит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ь целевой инструктаж, 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также следующих сотрудников участника оборота ДМДК: заместитель руководителя, в соответствии с должностными обязанностями курирующий вопросы организации и осуществления внутреннего контроля в целях ПОД/ФТ, сотрудники службы внутренне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го контроля (при наличии дол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жностей в штате). Также руководитель юридического лица, индивидуальный предприниматель с учетом специфики деятельности может определить других сотрудников участника оборота ДМДК, например продавцов, которые обязаны проходить обучение по ПОД/ФТ.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инструктаж сотрудников участника оборота ДМДК, утвержденных приказом руково</w:t>
      </w:r>
      <w:r>
        <w:rPr>
          <w:rFonts w:ascii="Times New Roman" w:hAnsi="Times New Roman" w:cs="Times New Roman"/>
          <w:sz w:val="28"/>
          <w:szCs w:val="28"/>
        </w:rPr>
        <w:t xml:space="preserve">дителя юридического лица,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, проводится СДЛ не реже одного раза в год при вступлении в силу или изменении законодательства о ПОД/ФТ, при утверждении или изменении действующих ПВК, при поручении сотруднику участника оборота ДМДК работы, предусматривающей обучение в целях ПОД/ФТ, </w:t>
      </w:r>
      <w:r>
        <w:rPr>
          <w:rFonts w:ascii="Times New Roman" w:hAnsi="Times New Roman" w:cs="Times New Roman"/>
          <w:sz w:val="28"/>
          <w:szCs w:val="28"/>
        </w:rPr>
        <w:t xml:space="preserve">при переводе сотрудника участника оборота ДМДК на другую постоянную работу (временную работу)</w:t>
      </w:r>
      <w:r>
        <w:rPr>
          <w:rFonts w:ascii="Times New Roman" w:hAnsi="Times New Roman" w:cs="Times New Roman"/>
          <w:sz w:val="28"/>
          <w:szCs w:val="28"/>
        </w:rPr>
        <w:t xml:space="preserve"> в случае, когда имеющихся у него знаний в области ПОД/ФТ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для соблюдения законодательства Российской Федерации о ПОД/ФТ.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оборота ДМДК обязаны вести учет прохождения их сотрудниками обучения.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Информация о проведенных вводных и дополнительных инструктажах может фиксироваться, например, в отдельных журналах учета.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прохождение сотрудником участника оборота ДМДК обучения, приобщаются к личному делу сотрудника участника оборота ДМДК.</w:t>
      </w:r>
      <w:r/>
    </w:p>
    <w:p>
      <w:pPr>
        <w:ind w:firstLine="709"/>
        <w:jc w:val="both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За непр</w:t>
      </w:r>
      <w:r>
        <w:rPr>
          <w:rFonts w:ascii="Times New Roman" w:hAnsi="Times New Roman" w:cs="Times New Roman"/>
          <w:sz w:val="28"/>
          <w:szCs w:val="28"/>
        </w:rPr>
        <w:t xml:space="preserve">оведение либо несвоевременное проведение обучения сотрудников участника оборота ДМДК предусмотрена административная ответственность по части 1 статьи 15.27 КоАП РФ в виде предупреждения или административного штрафа на должностных лиц (СДЛ или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лица, если не назначен СДЛ) в размере от 10 тыс. руб. до 30 тыс. руб.; на юридических лиц (индивидуальных предпринимателей) – от 50 тыс. руб. до 100 тыс. руб.</w:t>
      </w:r>
      <w:r>
        <w:t xml:space="preserve"> </w:t>
      </w:r>
      <w:r/>
    </w:p>
    <w:p>
      <w:pPr>
        <w:ind w:left="3969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headerReference w:type="default" r:id="rId9"/>
          <w:headerReference w:type="first" r:id="rId10"/>
          <w:footerReference w:type="default" r:id="rId12"/>
          <w:footnotePr/>
          <w:endnotePr/>
          <w:type w:val="nextPage"/>
          <w:pgSz w:w="11906" w:h="16838" w:orient="portrait"/>
          <w:pgMar w:top="1134" w:right="850" w:bottom="851" w:left="1134" w:header="708" w:footer="708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969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</w:t>
      </w:r>
      <w:r/>
    </w:p>
    <w:p>
      <w:pPr>
        <w:ind w:left="3969"/>
        <w:jc w:val="center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Руководству </w:t>
      </w:r>
      <w:r/>
    </w:p>
    <w:p>
      <w:pPr>
        <w:pStyle w:val="1160"/>
        <w:ind w:left="4248"/>
        <w:jc w:val="center"/>
      </w:pPr>
      <w:r>
        <w:rPr>
          <w:rFonts w:ascii="Times New Roman" w:hAnsi="Times New Roman" w:cs="Times New Roman"/>
        </w:rPr>
        <w:t xml:space="preserve">по соблюдению требований законодательства Российской Федерации о противодействии легализации (отмыванию) доходов,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полученных преступным путем, и финансированию терроризма юридическими лицами и индивидуальными предпринимателями, осуществляющими куплю-продажу, скупку драгоценных металлов и драгоценных камней, ювелирных изделий из них и лома таких изделий, утвержденному </w:t>
      </w:r>
      <w:r>
        <w:rPr>
          <w:rFonts w:ascii="Times New Roman" w:hAnsi="Times New Roman" w:cs="Times New Roman"/>
          <w:bCs/>
        </w:rPr>
        <w:t xml:space="preserve">приказом Федеральной пробирной палаты </w:t>
      </w:r>
      <w:r/>
    </w:p>
    <w:p>
      <w:pPr>
        <w:pStyle w:val="1160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от «__</w:t>
      </w:r>
      <w:r>
        <w:rPr>
          <w:rFonts w:ascii="Times New Roman" w:hAnsi="Times New Roman" w:cs="Times New Roman"/>
          <w:bCs/>
        </w:rPr>
        <w:t xml:space="preserve">_»_</w:t>
      </w:r>
      <w:r>
        <w:rPr>
          <w:rFonts w:ascii="Times New Roman" w:hAnsi="Times New Roman" w:cs="Times New Roman"/>
          <w:bCs/>
        </w:rPr>
        <w:t xml:space="preserve">___________ 2022 г. № ______ </w:t>
      </w:r>
      <w:r/>
    </w:p>
    <w:p>
      <w:pPr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-993" w:firstLine="993"/>
        <w:jc w:val="center"/>
        <w:spacing w:after="0" w:line="240" w:lineRule="auto"/>
        <w:tabs>
          <w:tab w:val="left" w:pos="1785" w:leader="none"/>
        </w:tabs>
        <w:rPr>
          <w:rFonts w:ascii="Times New Roman" w:hAnsi="Times New Roman" w:eastAsia="Calibri" w:cs="Times New Roman"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bCs/>
          <w:sz w:val="28"/>
          <w:szCs w:val="28"/>
          <w:highlight w:val="none"/>
        </w:rPr>
        <w:t xml:space="preserve">ПЕРЕЧЕНЬ</w:t>
      </w:r>
      <w:r/>
    </w:p>
    <w:p>
      <w:pPr>
        <w:ind w:left="-993" w:firstLine="993"/>
        <w:jc w:val="center"/>
        <w:spacing w:after="0" w:line="240" w:lineRule="auto"/>
        <w:tabs>
          <w:tab w:val="left" w:pos="1785" w:leader="none"/>
        </w:tabs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bCs/>
          <w:sz w:val="28"/>
          <w:szCs w:val="28"/>
          <w:highlight w:val="none"/>
        </w:rPr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видов экономической деятельности в сфере оборота ДМДК, на которые распространяются обязательные требования законодательства о ПОД/ФТ </w:t>
      </w:r>
      <w:r/>
    </w:p>
    <w:p>
      <w:pPr>
        <w:ind w:firstLine="993"/>
        <w:spacing w:after="0" w:line="340" w:lineRule="exact"/>
        <w:tabs>
          <w:tab w:val="left" w:pos="1785" w:leader="none"/>
        </w:tabs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07.29.1</w:t>
      </w:r>
      <w:r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Добыча и обогащение медной руды;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07.29.4</w:t>
      </w:r>
      <w:r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Добыча руд и песков драгоценных металлов и руд редких металлов;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07.29.41</w:t>
      </w:r>
      <w:r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Добыча руд и песков драгоценных металлов (золота, серебра и металлов платиновой группы);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08.99.31</w:t>
      </w:r>
      <w:r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Добыча драгоценных и полудрагоценных камней, кроме алмазов;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08.99.32</w:t>
      </w:r>
      <w:r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Добыча алмазов;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24.41</w:t>
      </w:r>
      <w:r>
        <w:rPr>
          <w:rFonts w:ascii="Times New Roman" w:hAnsi="Times New Roman" w:eastAsia="Calibri" w:cs="Times New Roman"/>
          <w:sz w:val="28"/>
          <w:szCs w:val="28"/>
        </w:rPr>
        <w:tab/>
        <w:t xml:space="preserve">-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Производство драгоценных металлов;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32.11</w:t>
      </w:r>
      <w:r>
        <w:rPr>
          <w:rFonts w:ascii="Times New Roman" w:hAnsi="Times New Roman" w:eastAsia="Calibri" w:cs="Times New Roman"/>
          <w:sz w:val="28"/>
          <w:szCs w:val="28"/>
        </w:rPr>
        <w:tab/>
        <w:t xml:space="preserve">-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Чеканка монет;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32.12</w:t>
      </w:r>
      <w:r>
        <w:rPr>
          <w:rFonts w:ascii="Times New Roman" w:hAnsi="Times New Roman" w:eastAsia="Calibri" w:cs="Times New Roman"/>
          <w:sz w:val="28"/>
          <w:szCs w:val="28"/>
        </w:rPr>
        <w:tab/>
        <w:t xml:space="preserve">-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Производство ювелирных изделий и аналогичных изделий;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32.12.1</w:t>
      </w:r>
      <w:r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Производство изделий технического назначения из драгоценных металлов;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32.12.2</w:t>
      </w:r>
      <w:r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Производство изделий технического назначения из драгоценных камней;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32.12.3</w:t>
      </w:r>
      <w:r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Обработка алмазов;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32.12.4</w:t>
      </w:r>
      <w:r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Обработка драгоценных, полудрагоценных, поделочных и синтетических камней, кроме алмазов и янтаря; производство изделий из полудрагоценных, поделочных и синтетических камней, кроме янтаря;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32.12.5</w:t>
      </w:r>
      <w:r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Производство ювелирных изделий, медалей из драгоценных металлов и драгоценных камней; 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shd w:val="clear" w:color="auto" w:fill="ffffff"/>
        </w:rPr>
        <w:t xml:space="preserve">32.12.51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 - Производство ювелирных изделий, медалей из серебра и драгоценных камней;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ab/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shd w:val="clear" w:color="auto" w:fill="ffffff"/>
        </w:rPr>
        <w:t xml:space="preserve">32.12.52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 - Производство ювелирных изделий, медалей из золота и драгоценных камней;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shd w:val="clear" w:color="auto" w:fill="ffffff"/>
        </w:rPr>
        <w:t xml:space="preserve">32.12.59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 - Производство ювелирных изделий, медалей из прочих драгоценных металлов и драгоценных камней;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32.12.6</w:t>
      </w:r>
      <w:r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Изготовление ювелирных изделий и аналогичных изделий по индивидуальному заказу населения;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shd w:val="clear" w:color="auto" w:fill="ffffff"/>
        </w:rPr>
        <w:t xml:space="preserve">32.12.61 -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 Изготовление ювелирных изделий и аналогичных изделий по индивидуальному заказу населения из серебра;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color w:val="000000"/>
          <w:sz w:val="28"/>
          <w:szCs w:val="28"/>
          <w:shd w:val="clear" w:color="auto" w:fill="ffffff"/>
        </w:rPr>
        <w:t xml:space="preserve"> 32.12.62 -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Изготовление ювелирных изделий и аналогичных изделий по индивидуальному заказу населения из золота;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shd w:val="clear" w:color="auto" w:fill="ffffff"/>
        </w:rPr>
        <w:t xml:space="preserve">32.12.69 -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Изготовление ювелирных изделий и аналогичных изделий по индивидуальному заказу населения из прочих драгоценных металлов;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ab/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38.32.2</w:t>
      </w:r>
      <w:r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Обработка отходов и лома драгоценных металлов;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46.48.2</w:t>
      </w:r>
      <w:r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Торговля оптовая ювелирными изделиями;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shd w:val="clear" w:color="auto" w:fill="ffffff"/>
        </w:rPr>
        <w:t xml:space="preserve">46.48.21 -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 Торговля оптовая ювелирными изделиями из серебра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shd w:val="clear" w:color="auto" w:fill="ffffff"/>
        </w:rPr>
        <w:t xml:space="preserve">46.48.22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 - Торговля оптовая ювелирными изделиями из золота;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color w:val="000000"/>
          <w:sz w:val="28"/>
          <w:szCs w:val="28"/>
          <w:shd w:val="clear" w:color="auto" w:fill="ffffff"/>
        </w:rPr>
        <w:t xml:space="preserve"> 46.48.29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 - Торговля оптовая ювелирными изделиями из прочих драгоценных металлов;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46.72.23</w:t>
      </w:r>
      <w:r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Торговля оптовая золотом и другими драгоценными металлами;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46.76.4</w:t>
      </w:r>
      <w:r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Торговля оптовая драгоценными камнями;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47.77 -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Торговля розничная часами и ювелирными изделиями в специализированных магазинах;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47.77.1</w:t>
      </w:r>
      <w:r>
        <w:rPr>
          <w:rFonts w:ascii="Times New Roman" w:hAnsi="Times New Roman" w:eastAsia="Calibri" w:cs="Times New Roman"/>
          <w:sz w:val="28"/>
          <w:szCs w:val="28"/>
        </w:rPr>
        <w:t xml:space="preserve"> -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Торговля розничная часами в специализированных магазинах;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47.77.2</w:t>
      </w:r>
      <w:r>
        <w:rPr>
          <w:rFonts w:ascii="Times New Roman" w:hAnsi="Times New Roman" w:eastAsia="Calibri" w:cs="Times New Roman"/>
          <w:sz w:val="28"/>
          <w:szCs w:val="28"/>
        </w:rPr>
        <w:t xml:space="preserve"> - Т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орговля розничная ювелирными изделиями в специализированных магазинах;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shd w:val="clear" w:color="auto" w:fill="ffffff"/>
        </w:rPr>
        <w:t xml:space="preserve">47.77.21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 - Торговля розничная ювелирными изделиями из серебра в специализированных магазинах;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shd w:val="clear" w:color="auto" w:fill="ffffff"/>
        </w:rPr>
        <w:t xml:space="preserve">47.77.22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 - Торговля розничная ювелирными изделиями из золота в специализированных магазинах;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shd w:val="clear" w:color="auto" w:fill="ffffff"/>
        </w:rPr>
        <w:t xml:space="preserve">47.77.29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 - Торговля розничная ювелирными изделиями из прочих драгоценных металлов в специализированных магазинах;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ab/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95.25 -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Ремонт часов и ювелирных изделий;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95.25.2 - </w:t>
      </w:r>
      <w:r>
        <w:rPr>
          <w:rFonts w:ascii="Times New Roman" w:hAnsi="Times New Roman" w:eastAsia="Calibri" w:cs="Times New Roman"/>
          <w:sz w:val="28"/>
          <w:szCs w:val="28"/>
        </w:rPr>
        <w:t xml:space="preserve">Ремонт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 ювелирных изделий;</w:t>
      </w:r>
      <w:r/>
    </w:p>
    <w:p>
      <w:pPr>
        <w:numPr>
          <w:ilvl w:val="0"/>
          <w:numId w:val="6"/>
        </w:numPr>
        <w:ind w:left="0" w:firstLine="993"/>
        <w:jc w:val="both"/>
        <w:spacing w:after="0" w:line="340" w:lineRule="exact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bCs/>
          <w:color w:val="000000"/>
          <w:sz w:val="28"/>
          <w:szCs w:val="28"/>
          <w:shd w:val="clear" w:color="auto" w:fill="ffffff"/>
        </w:rPr>
        <w:t xml:space="preserve"> 96.09.1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 - Деятельность по оказанию услуги по скупке у граждан ювелирных изделий.</w:t>
      </w:r>
      <w:r/>
    </w:p>
    <w:p>
      <w:pPr>
        <w:ind w:left="3969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headerReference w:type="default" r:id="rId11"/>
          <w:footnotePr/>
          <w:endnotePr/>
          <w:type w:val="nextPage"/>
          <w:pgSz w:w="11906" w:h="16838" w:orient="portrait"/>
          <w:pgMar w:top="1134" w:right="850" w:bottom="851" w:left="1134" w:header="708" w:footer="708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969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</w:t>
      </w:r>
      <w:r/>
    </w:p>
    <w:p>
      <w:pPr>
        <w:ind w:left="3969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к Руководству </w:t>
      </w:r>
      <w:r/>
    </w:p>
    <w:p>
      <w:pPr>
        <w:pStyle w:val="1160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соблюдению требований законодательства Российской Федерации о противодействии легализации (отмыванию) доходов,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полученных преступным путем, и финансированию терроризма юридическими лицами и индивидуальными предпринимателями, осуществляющими куплю-продажу, скупку драгоценных металлов и драгоценных камней, ювелирных изделий из них и лома таких изделий, утвержденному </w:t>
      </w:r>
      <w:r>
        <w:rPr>
          <w:rFonts w:ascii="Times New Roman" w:hAnsi="Times New Roman" w:cs="Times New Roman"/>
          <w:bCs/>
        </w:rPr>
        <w:t xml:space="preserve">приказом Федеральной пробирной палаты </w:t>
      </w:r>
      <w:r/>
    </w:p>
    <w:p>
      <w:pPr>
        <w:pStyle w:val="1160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от «__</w:t>
      </w:r>
      <w:r>
        <w:rPr>
          <w:rFonts w:ascii="Times New Roman" w:hAnsi="Times New Roman" w:cs="Times New Roman"/>
          <w:bCs/>
        </w:rPr>
        <w:t xml:space="preserve">_»_</w:t>
      </w:r>
      <w:r>
        <w:rPr>
          <w:rFonts w:ascii="Times New Roman" w:hAnsi="Times New Roman" w:cs="Times New Roman"/>
          <w:bCs/>
        </w:rPr>
        <w:t xml:space="preserve">___________ 2022 г. № ______ </w:t>
      </w:r>
      <w:r/>
    </w:p>
    <w:p>
      <w:pPr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СПРАВОЧНИК</w:t>
      </w:r>
      <w:r/>
    </w:p>
    <w:p>
      <w:pPr>
        <w:ind w:firstLine="851"/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кодов видов признаков необычных (подозрительных) операций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(сделок)</w:t>
      </w:r>
      <w:r/>
    </w:p>
    <w:p>
      <w:pPr>
        <w:ind w:firstLine="851"/>
        <w:jc w:val="center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W w:w="9918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413"/>
        <w:gridCol w:w="850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7"/>
              </w:rPr>
              <w:t xml:space="preserve">Код признака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7"/>
              </w:rPr>
              <w:t xml:space="preserve">Признаки необычных (подозрительных) операций (сделок), выявляемые при осуществлении скупки, купли-продажи драгоценных металлов и драгоценных камней, ювелирных изделий из них и лома таких изделий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3801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Систематическое приобретение физическим лицом нескольких ювелирных или других бытовых изделий из драгоценных металлов и (или) драгоценных камней (однотипных изделий) и/или сертифицированных драгоценных камней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3804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Отклонение стоимости драгоценных металлов, драгоценных камней, ювелирных изделий из них или других бытовых изделий из лома и отходов в рамках договора более чем на 20% в сторону повышения или в сторону понижения от уровня рыночных цен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3806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Получение партии (партий) ювелирных и (или) других бытовых изделий из драгоценных металлов и драгоценных камней с возможно фальшивыми оттисками пробирных клейм, с незарегистрированными оттисками 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именников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 производителей и (или) без оттисков государственных пробирных клейм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3807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Приобретение юридическим лицом - производителем ювелирной продукции минерального сырья у организаций и (или) старательских артелей, осуществляющих добычу драгоценных металлов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3808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Приобретение юридическим лицом - производителем продукции, не осуществляющим деятельность по огранке драгоценных камней, алмазного сырья и драгоценных камней в сыром (не обработанном) виде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3809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Приобретение юридическим лицом ограненных драгоценных камней (за исключением бриллиантов), не добывающихся на территории Российской Федерации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3810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Неисполнение клиентом обязанности по постановке на специальный учет в Федеральной пробирной палате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3811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Перечисление по поручению сдатчика денежных средств за скупленные драгоценные металлы и драгоценные камни, ювелирные и другие изделия из них, и лом таких изделий на счета третьих лиц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3812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Попытка или предложение клиента совершить операци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ю (сделку) без направления информации по факту оборота продукции, ювелирных изделий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3813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Попы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тка или предложение клиента совершить операцию (сделку) с ювелирными и другими изделиями из драгоценных металлов и (или) драгоценных камней, не имеющими бирки или ярлыка с нанесенными на них двухмерным штриховым кодом и уникальным идентификационным номером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3814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Попытка или предложение клиента совершить операцию (сделку) с драгоценными камнями, чьи классификационные характеристики не определены либо определ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ены не полностью или не в соответствии с нормативными техническими документами, действующими в качестве единых на таможенной территории Евразийского экономического союза для целей определения классификационных и стоимостных характеристик драгоценных камней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3815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Попытка или предложение клиента (физического лица) совершить с организацией-скупщиком сделку с драгоценными металлами и драгоценными камнями, не подлежащими скупке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3816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Однократная сдача в скупку физическим лицом ювелирных и других изделий из драгоценных металлов и (или) драгоценных камней в количестве 10 и более единиц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3817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Совершение сделки по продаже (передаче) организацией-скупщиком организации-переработчику для переработки или аффинажной о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рганизации для аффинажа монет из драгоценных металлов, если их рыночная стоимость выше стоимости драгоценных металлов, из которых они изготовлены, если их рыночная стоимость на 20% и более превышает стоимость драгоценного металла из которых они изготовлены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3818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Многократная (3 и более раз в год) сдача физическим лицом на комиссию ювелирных и других изделий из драгоценных металлов и (или) драгоценных камней без оттисков государственных пробирных клейм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3819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Перечисление по поручению комитента денежных средств за реализованные драгоценные металлы и драгоценные камни, ювелирные и другие изделия из драгоценных металлов и (или) драгоценных камней и лом таких изделий на счета третьих лиц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3820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Попытка или пред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ложение клиента совершить операцию (сделку) с мерными и (или) стандартными слитками аффинированных драгоценных металлов, на паспорта, сертификаты которых не нанесены двухмерный штриховой код и уникальный идентификационный номер в сочетании с номером слитка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3899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Иные признаки, свидетельствующие о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 возможном осуществлении легализации (отмывания) доходов, полученных преступным путем, или финансировании терроризма, при совершении операций (сделок) с драгоценными металлами и драгоценными камнями, ювелирными и иными изделиями из них и лома таких изделий</w:t>
            </w:r>
            <w:r/>
          </w:p>
        </w:tc>
      </w:tr>
    </w:tbl>
    <w:p>
      <w:pPr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851" w:left="1134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Tahoma">
    <w:panose1 w:val="020B0604030504040204"/>
  </w:font>
  <w:font w:name="Noto Sans Devanagari">
    <w:panose1 w:val="020B0502040504020204"/>
  </w:font>
  <w:font w:name="Wingdings">
    <w:panose1 w:val="05000000000000000000"/>
  </w:font>
  <w:font w:name="PT Sans">
    <w:panose1 w:val="020B0503020203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155"/>
        <w:jc w:val="both"/>
        <w:rPr>
          <w:rFonts w:ascii="Times New Roman" w:hAnsi="Times New Roman" w:cs="Times New Roman"/>
        </w:rPr>
      </w:pPr>
      <w:r>
        <w:rPr>
          <w:rStyle w:val="1157"/>
          <w:rFonts w:ascii="Times New Roman" w:hAnsi="Times New Roman" w:cs="Times New Roman"/>
          <w:szCs w:val="24"/>
        </w:rPr>
        <w:footnoteRef/>
      </w:r>
      <w:r>
        <w:rPr>
          <w:rFonts w:ascii="Times New Roman" w:hAnsi="Times New Roman" w:cs="Times New Roman"/>
          <w:szCs w:val="24"/>
        </w:rPr>
        <w:t xml:space="preserve"> Приказ Росфинмониторинга от 8 февраля 2022 г. № 18 «Об утверждении Особен</w:t>
      </w:r>
      <w:r>
        <w:rPr>
          <w:rFonts w:ascii="Times New Roman" w:hAnsi="Times New Roman" w:cs="Times New Roman"/>
          <w:szCs w:val="24"/>
        </w:rPr>
        <w:t xml:space="preserve">н</w:t>
      </w:r>
      <w:r>
        <w:rPr>
          <w:rFonts w:ascii="Times New Roman" w:hAnsi="Times New Roman" w:cs="Times New Roman"/>
          <w:szCs w:val="24"/>
        </w:rPr>
        <w:t xml:space="preserve">о</w:t>
      </w:r>
      <w:r>
        <w:rPr>
          <w:rFonts w:ascii="Times New Roman" w:hAnsi="Times New Roman" w:cs="Times New Roman"/>
          <w:szCs w:val="24"/>
        </w:rPr>
        <w:t xml:space="preserve">стей представления в Федеральную службу по финансовому мониторингу информации, предусмотренной Федеральным законом </w:t>
        <w:br/>
        <w:t xml:space="preserve">от 7 августа 2001 г. № 115-ФЗ «О противодействии легализации (отмыванию) доходов, полученных преступным путем, и финансированию терроризма».</w:t>
      </w:r>
      <w:r/>
    </w:p>
  </w:footnote>
  <w:footnote w:id="3">
    <w:p>
      <w:pPr>
        <w:pStyle w:val="1155"/>
        <w:jc w:val="both"/>
        <w:rPr>
          <w:rFonts w:ascii="Times New Roman" w:hAnsi="Times New Roman" w:eastAsia="Times New Roman" w:cs="Times New Roman"/>
        </w:rPr>
      </w:pPr>
      <w:r>
        <w:rPr>
          <w:rStyle w:val="1157"/>
          <w:rFonts w:ascii="Times New Roman" w:hAnsi="Times New Roman" w:eastAsia="Times New Roman" w:cs="Times New Roman"/>
        </w:rPr>
        <w:footnoteRef/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Приказ Росфинмониторинга от 20 июля 2020 г. № 175</w:t>
      </w:r>
      <w:r>
        <w:rPr>
          <w:rFonts w:ascii="Times New Roman" w:hAnsi="Times New Roman" w:eastAsia="Times New Roman" w:cs="Times New Roman"/>
        </w:rPr>
        <w:t xml:space="preserve"> «Об утверждении Порядка ведения личного кабинета, а также Порядка доступа к личному кабинету и его использования».</w:t>
      </w:r>
      <w:r>
        <w:rPr>
          <w:rFonts w:ascii="Times New Roman" w:hAnsi="Times New Roman" w:eastAsia="Times New Roman" w:cs="Times New Roman"/>
        </w:rPr>
      </w:r>
      <w:r/>
    </w:p>
  </w:footnote>
  <w:footnote w:id="4">
    <w:p>
      <w:pPr>
        <w:pStyle w:val="1155"/>
        <w:jc w:val="both"/>
        <w:rPr>
          <w:rFonts w:ascii="Times New Roman" w:hAnsi="Times New Roman" w:eastAsia="Times New Roman" w:cs="Times New Roman"/>
          <w:sz w:val="20"/>
        </w:rPr>
      </w:pPr>
      <w:r>
        <w:rPr>
          <w:rStyle w:val="1157"/>
          <w:rFonts w:ascii="Times New Roman" w:hAnsi="Times New Roman" w:eastAsia="Times New Roman" w:cs="Times New Roman"/>
          <w:sz w:val="20"/>
        </w:rPr>
        <w:footnoteRef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4"/>
        </w:rPr>
        <w:t xml:space="preserve">Набор данных, подлежащих установлению при осуществлении процедуры ид</w:t>
      </w:r>
      <w:r>
        <w:rPr>
          <w:rFonts w:ascii="Times New Roman" w:hAnsi="Times New Roman" w:eastAsia="Times New Roman" w:cs="Times New Roman"/>
          <w:sz w:val="20"/>
          <w:szCs w:val="24"/>
        </w:rPr>
        <w:t xml:space="preserve">ентификации, установлен требованиями к идентификации клиентов, представителей клиента, выгодоприобретателей и бенефициарных владельцев, в том числе с учетом степени (уровня) риска совершения подозрительных операций, утвержденными приказом Росфинмониторинга</w:t>
      </w:r>
      <w:r>
        <w:rPr>
          <w:rFonts w:ascii="Times New Roman" w:hAnsi="Times New Roman" w:eastAsia="Times New Roman" w:cs="Times New Roman"/>
          <w:sz w:val="20"/>
          <w:szCs w:val="24"/>
        </w:rPr>
        <w:t xml:space="preserve"> от 20 мая 2022 г. № 100.</w:t>
      </w:r>
      <w:r>
        <w:rPr>
          <w:rFonts w:ascii="Times New Roman" w:hAnsi="Times New Roman" w:eastAsia="Times New Roman" w:cs="Times New Roman"/>
          <w:sz w:val="20"/>
        </w:rPr>
      </w:r>
      <w:r/>
    </w:p>
  </w:footnote>
  <w:footnote w:id="5">
    <w:p>
      <w:pPr>
        <w:pStyle w:val="1155"/>
        <w:jc w:val="both"/>
        <w:rPr>
          <w:rFonts w:ascii="Times New Roman" w:hAnsi="Times New Roman" w:eastAsia="Times New Roman" w:cs="Times New Roman"/>
        </w:rPr>
      </w:pPr>
      <w:r>
        <w:rPr>
          <w:rStyle w:val="1157"/>
          <w:rFonts w:ascii="Times New Roman" w:hAnsi="Times New Roman" w:eastAsia="Times New Roman" w:cs="Times New Roman"/>
        </w:rPr>
        <w:footnoteRef/>
      </w:r>
      <w:r>
        <w:rPr>
          <w:rFonts w:ascii="Times New Roman" w:hAnsi="Times New Roman" w:eastAsia="Times New Roman" w:cs="Times New Roman"/>
        </w:rPr>
        <w:t xml:space="preserve"> Пункт 15(1) требований к </w:t>
      </w:r>
      <w:r>
        <w:rPr>
          <w:rFonts w:ascii="Times New Roman" w:hAnsi="Times New Roman" w:eastAsia="Times New Roman" w:cs="Times New Roman"/>
        </w:rPr>
        <w:t xml:space="preserve">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предпринимателями, утвержденных постановлением Правительства Российской Федерации от 30 июня 2012 г. № 667.</w:t>
      </w:r>
      <w:r/>
    </w:p>
  </w:footnote>
  <w:footnote w:id="6">
    <w:p>
      <w:pPr>
        <w:pStyle w:val="1155"/>
        <w:jc w:val="both"/>
        <w:rPr>
          <w:rFonts w:ascii="Times New Roman" w:hAnsi="Times New Roman" w:eastAsia="Times New Roman" w:cs="Times New Roman"/>
        </w:rPr>
      </w:pPr>
      <w:r>
        <w:rPr>
          <w:rStyle w:val="1157"/>
          <w:rFonts w:ascii="Times New Roman" w:hAnsi="Times New Roman" w:eastAsia="Times New Roman" w:cs="Times New Roman"/>
        </w:rPr>
        <w:footnoteRef/>
      </w:r>
      <w:r>
        <w:rPr>
          <w:rFonts w:ascii="Times New Roman" w:hAnsi="Times New Roman" w:eastAsia="Times New Roman" w:cs="Times New Roman"/>
        </w:rPr>
        <w:t xml:space="preserve"> Пункт 28 </w:t>
      </w:r>
      <w:r>
        <w:rPr>
          <w:rFonts w:ascii="Times New Roman" w:hAnsi="Times New Roman" w:eastAsia="Times New Roman" w:cs="Times New Roman"/>
        </w:rPr>
        <w:t xml:space="preserve">информационного письма Росфинмониторинга от 20 сентября 2021 г. № 63 </w:t>
      </w:r>
      <w:r>
        <w:rPr>
          <w:rFonts w:ascii="Times New Roman" w:hAnsi="Times New Roman" w:eastAsia="Times New Roman" w:cs="Times New Roman"/>
        </w:rPr>
        <w:t xml:space="preserve">«</w:t>
      </w:r>
      <w:r>
        <w:rPr>
          <w:rFonts w:ascii="Times New Roman" w:hAnsi="Times New Roman" w:eastAsia="Times New Roman" w:cs="Times New Roman"/>
        </w:rPr>
        <w:t xml:space="preserve">О применении организациями и индивидуальными предпринимателями, осуществляющими скупку, куплю-продажу драгоценных металлов, драгоценных камней, ювелирных изделий из них и лома таких изделий, отдельных норм законодательства в сфере противодействия легализац</w:t>
      </w:r>
      <w:r>
        <w:rPr>
          <w:rFonts w:ascii="Times New Roman" w:hAnsi="Times New Roman" w:eastAsia="Times New Roman" w:cs="Times New Roman"/>
        </w:rPr>
        <w:t xml:space="preserve">ии (отмыванию) доходов, полученных преступным путем, и финансированию терроризма».</w:t>
      </w:r>
      <w:r>
        <w:rPr>
          <w:rFonts w:ascii="Times New Roman" w:hAnsi="Times New Roman" w:eastAsia="Times New Roman" w:cs="Times New Roman"/>
        </w:rPr>
      </w:r>
      <w:r/>
    </w:p>
  </w:footnote>
  <w:footnote w:id="7">
    <w:p>
      <w:pPr>
        <w:pStyle w:val="1155"/>
        <w:jc w:val="both"/>
        <w:rPr>
          <w:rFonts w:ascii="Times New Roman" w:hAnsi="Times New Roman" w:eastAsia="Times New Roman" w:cs="Times New Roman"/>
        </w:rPr>
      </w:pPr>
      <w:r>
        <w:rPr>
          <w:rStyle w:val="1157"/>
          <w:rFonts w:ascii="Times New Roman" w:hAnsi="Times New Roman" w:eastAsia="Times New Roman" w:cs="Times New Roman"/>
        </w:rPr>
        <w:footnoteRef/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Пункт 7 </w:t>
      </w:r>
      <w:r>
        <w:rPr>
          <w:rFonts w:ascii="Times New Roman" w:hAnsi="Times New Roman" w:eastAsia="Times New Roman" w:cs="Times New Roman"/>
        </w:rPr>
        <w:t xml:space="preserve">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eastAsia="Times New Roman" w:cs="Times New Roman"/>
        </w:rPr>
        <w:t xml:space="preserve">, утвержденного </w:t>
      </w:r>
      <w:r>
        <w:rPr>
          <w:rFonts w:ascii="Times New Roman" w:hAnsi="Times New Roman" w:eastAsia="Times New Roman" w:cs="Times New Roman"/>
        </w:rPr>
        <w:t xml:space="preserve">приказом Росфинмониторинга </w:t>
        <w:br/>
        <w:t xml:space="preserve">от 3 августа 2010 г. № 203</w:t>
      </w:r>
      <w:r>
        <w:rPr>
          <w:rFonts w:ascii="Times New Roman" w:hAnsi="Times New Roman" w:eastAsia="Times New Roman" w:cs="Times New Roman"/>
        </w:rPr>
        <w:t xml:space="preserve">.</w:t>
      </w:r>
      <w:r>
        <w:rPr>
          <w:rFonts w:ascii="Times New Roman" w:hAnsi="Times New Roman" w:eastAsia="Times New Roman" w:cs="Times New Roman"/>
        </w:rPr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751896999"/>
      <w:docPartObj>
        <w:docPartGallery w:val="Page Numbers (Top of Page)"/>
        <w:docPartUnique w:val="true"/>
      </w:docPartObj>
      <w:rPr/>
    </w:sdtPr>
    <w:sdtContent>
      <w:p>
        <w:pPr>
          <w:pStyle w:val="1152"/>
          <w:jc w:val="center"/>
          <w:rPr>
            <w:rFonts w:ascii="Times New Roman" w:hAnsi="Times New Roman" w:eastAsia="Times New Roman" w:cs="Times New Roman"/>
            <w:sz w:val="24"/>
          </w:rPr>
        </w:pPr>
        <w:r>
          <w:rPr>
            <w:rFonts w:ascii="Times New Roman" w:hAnsi="Times New Roman" w:eastAsia="Times New Roman" w:cs="Times New Roman"/>
            <w:sz w:val="24"/>
          </w:rPr>
          <w:fldChar w:fldCharType="begin"/>
        </w:r>
        <w:r>
          <w:rPr>
            <w:rFonts w:ascii="Times New Roman" w:hAnsi="Times New Roman" w:eastAsia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eastAsia="Times New Roman" w:cs="Times New Roman"/>
            <w:sz w:val="24"/>
          </w:rPr>
          <w:fldChar w:fldCharType="separate"/>
        </w:r>
        <w:r>
          <w:rPr>
            <w:rFonts w:ascii="Times New Roman" w:hAnsi="Times New Roman" w:eastAsia="Times New Roman" w:cs="Times New Roman"/>
            <w:sz w:val="24"/>
          </w:rPr>
          <w:t xml:space="preserve">19</w:t>
        </w:r>
        <w:r>
          <w:rPr>
            <w:rFonts w:ascii="Times New Roman" w:hAnsi="Times New Roman" w:eastAsia="Times New Roman" w:cs="Times New Roman"/>
            <w:sz w:val="24"/>
          </w:rPr>
          <w:fldChar w:fldCharType="end"/>
        </w:r>
        <w:r/>
      </w:p>
    </w:sdtContent>
  </w:sdt>
  <w:p>
    <w:pPr>
      <w:pStyle w:val="11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52"/>
      <w:jc w:val="right"/>
    </w:pPr>
    <w:r/>
    <w:r/>
  </w:p>
  <w:p>
    <w:pPr>
      <w:pStyle w:val="115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40356724"/>
      <w:docPartObj>
        <w:docPartGallery w:val="Page Numbers (Top of Page)"/>
        <w:docPartUnique w:val="true"/>
      </w:docPartObj>
      <w:rPr/>
    </w:sdtPr>
    <w:sdtContent>
      <w:p>
        <w:pPr>
          <w:pStyle w:val="1152"/>
          <w:jc w:val="center"/>
          <w:rPr>
            <w:rFonts w:ascii="Times New Roman" w:hAnsi="Times New Roman" w:eastAsia="Times New Roman" w:cs="Times New Roman"/>
            <w:sz w:val="24"/>
          </w:rPr>
        </w:pPr>
        <w:r>
          <w:rPr>
            <w:rFonts w:ascii="Times New Roman" w:hAnsi="Times New Roman" w:eastAsia="Times New Roman" w:cs="Times New Roman"/>
            <w:sz w:val="24"/>
          </w:rPr>
          <w:fldChar w:fldCharType="begin"/>
        </w:r>
        <w:r>
          <w:rPr>
            <w:rFonts w:ascii="Times New Roman" w:hAnsi="Times New Roman" w:eastAsia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eastAsia="Times New Roman" w:cs="Times New Roman"/>
            <w:sz w:val="24"/>
          </w:rPr>
          <w:fldChar w:fldCharType="separate"/>
        </w:r>
        <w:r>
          <w:rPr>
            <w:rFonts w:ascii="Times New Roman" w:hAnsi="Times New Roman" w:eastAsia="Times New Roman" w:cs="Times New Roman"/>
            <w:sz w:val="24"/>
          </w:rPr>
          <w:t xml:space="preserve">19</w:t>
        </w:r>
        <w:r>
          <w:rPr>
            <w:rFonts w:ascii="Times New Roman" w:hAnsi="Times New Roman" w:eastAsia="Times New Roman" w:cs="Times New Roman"/>
            <w:sz w:val="24"/>
          </w:rPr>
          <w:fldChar w:fldCharType="end"/>
        </w:r>
        <w:r/>
      </w:p>
    </w:sdtContent>
  </w:sdt>
  <w:p>
    <w:pPr>
      <w:pStyle w:val="115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5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7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99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1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3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5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7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9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1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5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7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99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1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3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5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7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9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1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8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8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8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8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8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8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8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8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8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28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353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353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2"/>
  </w:num>
  <w:num w:numId="5">
    <w:abstractNumId w:val="19"/>
  </w:num>
  <w:num w:numId="6">
    <w:abstractNumId w:val="20"/>
  </w:num>
  <w:num w:numId="7">
    <w:abstractNumId w:val="18"/>
  </w:num>
  <w:num w:numId="8">
    <w:abstractNumId w:val="17"/>
  </w:num>
  <w:num w:numId="9">
    <w:abstractNumId w:val="9"/>
  </w:num>
  <w:num w:numId="10">
    <w:abstractNumId w:val="16"/>
  </w:num>
  <w:num w:numId="11">
    <w:abstractNumId w:val="15"/>
  </w:num>
  <w:num w:numId="12">
    <w:abstractNumId w:val="21"/>
  </w:num>
  <w:num w:numId="13">
    <w:abstractNumId w:val="7"/>
  </w:num>
  <w:num w:numId="14">
    <w:abstractNumId w:val="11"/>
  </w:num>
  <w:num w:numId="15">
    <w:abstractNumId w:val="2"/>
  </w:num>
  <w:num w:numId="16">
    <w:abstractNumId w:val="10"/>
  </w:num>
  <w:num w:numId="17">
    <w:abstractNumId w:val="3"/>
  </w:num>
  <w:num w:numId="18">
    <w:abstractNumId w:val="6"/>
  </w:num>
  <w:num w:numId="19">
    <w:abstractNumId w:val="5"/>
  </w:num>
  <w:num w:numId="20">
    <w:abstractNumId w:val="4"/>
  </w:num>
  <w:num w:numId="21">
    <w:abstractNumId w:val="1"/>
  </w:num>
  <w:num w:numId="22">
    <w:abstractNumId w:val="13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44" w:default="1">
    <w:name w:val="Normal"/>
    <w:qFormat/>
    <w:pPr>
      <w:spacing w:after="200" w:line="276" w:lineRule="auto"/>
    </w:pPr>
  </w:style>
  <w:style w:type="paragraph" w:styleId="845">
    <w:name w:val="Heading 1"/>
    <w:basedOn w:val="844"/>
    <w:next w:val="844"/>
    <w:link w:val="98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846">
    <w:name w:val="Heading 2"/>
    <w:basedOn w:val="844"/>
    <w:next w:val="844"/>
    <w:link w:val="98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847">
    <w:name w:val="Heading 3"/>
    <w:basedOn w:val="844"/>
    <w:next w:val="844"/>
    <w:link w:val="99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848">
    <w:name w:val="Heading 4"/>
    <w:basedOn w:val="844"/>
    <w:next w:val="844"/>
    <w:link w:val="99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49">
    <w:name w:val="Heading 5"/>
    <w:basedOn w:val="844"/>
    <w:next w:val="844"/>
    <w:link w:val="99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50">
    <w:name w:val="Heading 6"/>
    <w:basedOn w:val="844"/>
    <w:next w:val="844"/>
    <w:link w:val="99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851">
    <w:name w:val="Heading 7"/>
    <w:basedOn w:val="844"/>
    <w:next w:val="844"/>
    <w:link w:val="99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852">
    <w:name w:val="Heading 8"/>
    <w:basedOn w:val="844"/>
    <w:next w:val="844"/>
    <w:link w:val="99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853">
    <w:name w:val="Heading 9"/>
    <w:basedOn w:val="844"/>
    <w:next w:val="844"/>
    <w:link w:val="99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54" w:default="1">
    <w:name w:val="Default Paragraph Font"/>
    <w:uiPriority w:val="1"/>
    <w:semiHidden/>
    <w:unhideWhenUsed/>
  </w:style>
  <w:style w:type="table" w:styleId="8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6" w:default="1">
    <w:name w:val="No List"/>
    <w:uiPriority w:val="99"/>
    <w:semiHidden/>
    <w:unhideWhenUsed/>
  </w:style>
  <w:style w:type="table" w:styleId="857" w:customStyle="1">
    <w:name w:val="Table Grid Light"/>
    <w:basedOn w:val="85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58" w:customStyle="1">
    <w:name w:val="Grid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Grid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Grid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Grid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Grid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Grid Table 2 - Accent 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Grid Table 2 - Accent 2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Grid Table 2 - Accent 3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Grid Table 2 - Accent 4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Grid Table 2 - Accent 5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Grid Table 2 - Accent 6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Grid Table 3 - Accent 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Grid Table 3 - Accent 2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Grid Table 3 - Accent 3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Grid Table 3 - Accent 4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Grid Table 3 - Accent 5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Grid Table 3 - Accent 6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Grid Table 4 - Accent 1"/>
    <w:basedOn w:val="8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876" w:customStyle="1">
    <w:name w:val="Grid Table 4 - Accent 2"/>
    <w:basedOn w:val="8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77" w:customStyle="1">
    <w:name w:val="Grid Table 4 - Accent 3"/>
    <w:basedOn w:val="8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78" w:customStyle="1">
    <w:name w:val="Grid Table 4 - Accent 4"/>
    <w:basedOn w:val="8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79" w:customStyle="1">
    <w:name w:val="Grid Table 4 - Accent 5"/>
    <w:basedOn w:val="8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80" w:customStyle="1">
    <w:name w:val="Grid Table 4 - Accent 6"/>
    <w:basedOn w:val="8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81" w:customStyle="1">
    <w:name w:val="Grid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82" w:customStyle="1">
    <w:name w:val="Grid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83" w:customStyle="1">
    <w:name w:val="Grid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884" w:customStyle="1">
    <w:name w:val="Grid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85" w:customStyle="1">
    <w:name w:val="List Table 1 Light - Accent 1"/>
    <w:basedOn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1 Light - Accent 2"/>
    <w:basedOn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1 Light - Accent 3"/>
    <w:basedOn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1 Light - Accent 4"/>
    <w:basedOn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1 Light - Accent 5"/>
    <w:basedOn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1 Light - Accent 6"/>
    <w:basedOn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2 - Accent 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92" w:customStyle="1">
    <w:name w:val="List Table 2 - Accent 2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93" w:customStyle="1">
    <w:name w:val="List Table 2 - Accent 3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94" w:customStyle="1">
    <w:name w:val="List Table 2 - Accent 4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95" w:customStyle="1">
    <w:name w:val="List Table 2 - Accent 5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96" w:customStyle="1">
    <w:name w:val="List Table 2 - Accent 6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97" w:customStyle="1">
    <w:name w:val="List Table 3 - Accent 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2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3 - Accent 3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3 - Accent 4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3 - Accent 5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3 - Accent 6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2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3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 - Accent 4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4 - Accent 5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4 - Accent 6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5 Dark - Accent 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5 Dark - Accent 4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 w:customStyle="1">
    <w:name w:val="List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List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5" w:customStyle="1">
    <w:name w:val="Table Grid Light1"/>
    <w:basedOn w:val="85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916" w:customStyle="1">
    <w:name w:val="Grid Table 1 Light - Accent 1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Grid Table 1 Light - Accent 3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Grid Table 1 Light - Accent 4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Grid Table 1 Light - Accent 5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Grid Table 1 Light - Accent 6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Grid Table 2 - Accent 1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Grid Table 2 - Accent 2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Grid Table 2 - Accent 3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Grid Table 2 - Accent 4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Grid Table 2 - Accent 5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Grid Table 2 - Accent 6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 w:customStyle="1">
    <w:name w:val="Grid Table 3 - Accent 1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 w:customStyle="1">
    <w:name w:val="Grid Table 3 - Accent 2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 w:customStyle="1">
    <w:name w:val="Grid Table 3 - Accent 3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 w:customStyle="1">
    <w:name w:val="Grid Table 3 - Accent 4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 w:customStyle="1">
    <w:name w:val="Grid Table 3 - Accent 5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 w:customStyle="1">
    <w:name w:val="Grid Table 3 - Accent 6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 w:customStyle="1">
    <w:name w:val="Grid Table 4 - Accent 11"/>
    <w:basedOn w:val="8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934" w:customStyle="1">
    <w:name w:val="Grid Table 4 - Accent 21"/>
    <w:basedOn w:val="8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935" w:customStyle="1">
    <w:name w:val="Grid Table 4 - Accent 31"/>
    <w:basedOn w:val="8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936" w:customStyle="1">
    <w:name w:val="Grid Table 4 - Accent 41"/>
    <w:basedOn w:val="8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937" w:customStyle="1">
    <w:name w:val="Grid Table 4 - Accent 51"/>
    <w:basedOn w:val="8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938" w:customStyle="1">
    <w:name w:val="Grid Table 4 - Accent 61"/>
    <w:basedOn w:val="8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939" w:customStyle="1">
    <w:name w:val="Grid Table 5 Dark - Accent 2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940" w:customStyle="1">
    <w:name w:val="Grid Table 5 Dark - Accent 3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941" w:customStyle="1">
    <w:name w:val="Grid Table 5 Dark - Accent 5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942" w:customStyle="1">
    <w:name w:val="Grid Table 5 Dark - Accent 6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943" w:customStyle="1">
    <w:name w:val="List Table 1 Light - Accent 11"/>
    <w:basedOn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 w:customStyle="1">
    <w:name w:val="List Table 1 Light - Accent 21"/>
    <w:basedOn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 w:customStyle="1">
    <w:name w:val="List Table 1 Light - Accent 31"/>
    <w:basedOn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 w:customStyle="1">
    <w:name w:val="List Table 1 Light - Accent 41"/>
    <w:basedOn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 w:customStyle="1">
    <w:name w:val="List Table 1 Light - Accent 51"/>
    <w:basedOn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 w:customStyle="1">
    <w:name w:val="List Table 1 Light - Accent 61"/>
    <w:basedOn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 w:customStyle="1">
    <w:name w:val="List Table 2 - Accent 1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950" w:customStyle="1">
    <w:name w:val="List Table 2 - Accent 2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951" w:customStyle="1">
    <w:name w:val="List Table 2 - Accent 3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952" w:customStyle="1">
    <w:name w:val="List Table 2 - Accent 4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953" w:customStyle="1">
    <w:name w:val="List Table 2 - Accent 5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954" w:customStyle="1">
    <w:name w:val="List Table 2 - Accent 6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955" w:customStyle="1">
    <w:name w:val="List Table 3 - Accent 1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List Table 3 - Accent 2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 w:customStyle="1">
    <w:name w:val="List Table 3 - Accent 3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 w:customStyle="1">
    <w:name w:val="List Table 3 - Accent 4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 w:customStyle="1">
    <w:name w:val="List Table 3 - Accent 5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 w:customStyle="1">
    <w:name w:val="List Table 3 - Accent 6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 w:customStyle="1">
    <w:name w:val="List Table 4 - Accent 1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List Table 4 - Accent 2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List Table 4 - Accent 3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List Table 4 - Accent 4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 w:customStyle="1">
    <w:name w:val="List Table 4 - Accent 5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 w:customStyle="1">
    <w:name w:val="List Table 4 - Accent 6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 w:customStyle="1">
    <w:name w:val="List Table 5 Dark - Accent 1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8" w:customStyle="1">
    <w:name w:val="List Table 5 Dark - Accent 2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9" w:customStyle="1">
    <w:name w:val="List Table 5 Dark - Accent 3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0" w:customStyle="1">
    <w:name w:val="List Table 5 Dark - Accent 4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1" w:customStyle="1">
    <w:name w:val="List Table 5 Dark - Accent 5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2" w:customStyle="1">
    <w:name w:val="List Table 5 Dark - Accent 6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character" w:styleId="973" w:customStyle="1">
    <w:name w:val="Heading 1 Char"/>
    <w:basedOn w:val="854"/>
    <w:uiPriority w:val="9"/>
    <w:rPr>
      <w:rFonts w:ascii="Arial" w:hAnsi="Arial" w:eastAsia="Arial" w:cs="Arial"/>
      <w:sz w:val="40"/>
      <w:szCs w:val="40"/>
    </w:rPr>
  </w:style>
  <w:style w:type="character" w:styleId="974" w:customStyle="1">
    <w:name w:val="Heading 2 Char"/>
    <w:basedOn w:val="854"/>
    <w:uiPriority w:val="9"/>
    <w:rPr>
      <w:rFonts w:ascii="Arial" w:hAnsi="Arial" w:eastAsia="Arial" w:cs="Arial"/>
      <w:sz w:val="34"/>
    </w:rPr>
  </w:style>
  <w:style w:type="character" w:styleId="975" w:customStyle="1">
    <w:name w:val="Heading 3 Char"/>
    <w:basedOn w:val="854"/>
    <w:uiPriority w:val="9"/>
    <w:rPr>
      <w:rFonts w:ascii="Arial" w:hAnsi="Arial" w:eastAsia="Arial" w:cs="Arial"/>
      <w:sz w:val="30"/>
      <w:szCs w:val="30"/>
    </w:rPr>
  </w:style>
  <w:style w:type="character" w:styleId="976" w:customStyle="1">
    <w:name w:val="Heading 4 Char"/>
    <w:basedOn w:val="854"/>
    <w:uiPriority w:val="9"/>
    <w:rPr>
      <w:rFonts w:ascii="Arial" w:hAnsi="Arial" w:eastAsia="Arial" w:cs="Arial"/>
      <w:b/>
      <w:bCs/>
      <w:sz w:val="26"/>
      <w:szCs w:val="26"/>
    </w:rPr>
  </w:style>
  <w:style w:type="character" w:styleId="977" w:customStyle="1">
    <w:name w:val="Heading 5 Char"/>
    <w:basedOn w:val="854"/>
    <w:uiPriority w:val="9"/>
    <w:rPr>
      <w:rFonts w:ascii="Arial" w:hAnsi="Arial" w:eastAsia="Arial" w:cs="Arial"/>
      <w:b/>
      <w:bCs/>
      <w:sz w:val="24"/>
      <w:szCs w:val="24"/>
    </w:rPr>
  </w:style>
  <w:style w:type="character" w:styleId="978" w:customStyle="1">
    <w:name w:val="Heading 6 Char"/>
    <w:basedOn w:val="854"/>
    <w:uiPriority w:val="9"/>
    <w:rPr>
      <w:rFonts w:ascii="Arial" w:hAnsi="Arial" w:eastAsia="Arial" w:cs="Arial"/>
      <w:b/>
      <w:bCs/>
      <w:sz w:val="22"/>
      <w:szCs w:val="22"/>
    </w:rPr>
  </w:style>
  <w:style w:type="character" w:styleId="979" w:customStyle="1">
    <w:name w:val="Heading 7 Char"/>
    <w:basedOn w:val="8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80" w:customStyle="1">
    <w:name w:val="Heading 8 Char"/>
    <w:basedOn w:val="854"/>
    <w:uiPriority w:val="9"/>
    <w:rPr>
      <w:rFonts w:ascii="Arial" w:hAnsi="Arial" w:eastAsia="Arial" w:cs="Arial"/>
      <w:i/>
      <w:iCs/>
      <w:sz w:val="22"/>
      <w:szCs w:val="22"/>
    </w:rPr>
  </w:style>
  <w:style w:type="character" w:styleId="981" w:customStyle="1">
    <w:name w:val="Heading 9 Char"/>
    <w:basedOn w:val="854"/>
    <w:uiPriority w:val="9"/>
    <w:rPr>
      <w:rFonts w:ascii="Arial" w:hAnsi="Arial" w:eastAsia="Arial" w:cs="Arial"/>
      <w:i/>
      <w:iCs/>
      <w:sz w:val="21"/>
      <w:szCs w:val="21"/>
    </w:rPr>
  </w:style>
  <w:style w:type="character" w:styleId="982" w:customStyle="1">
    <w:name w:val="Title Char"/>
    <w:basedOn w:val="854"/>
    <w:uiPriority w:val="10"/>
    <w:rPr>
      <w:sz w:val="48"/>
      <w:szCs w:val="48"/>
    </w:rPr>
  </w:style>
  <w:style w:type="character" w:styleId="983" w:customStyle="1">
    <w:name w:val="Subtitle Char"/>
    <w:basedOn w:val="854"/>
    <w:uiPriority w:val="11"/>
    <w:rPr>
      <w:sz w:val="24"/>
      <w:szCs w:val="24"/>
    </w:rPr>
  </w:style>
  <w:style w:type="character" w:styleId="984" w:customStyle="1">
    <w:name w:val="Quote Char"/>
    <w:uiPriority w:val="29"/>
    <w:rPr>
      <w:i/>
    </w:rPr>
  </w:style>
  <w:style w:type="character" w:styleId="985" w:customStyle="1">
    <w:name w:val="Intense Quote Char"/>
    <w:uiPriority w:val="30"/>
    <w:rPr>
      <w:i/>
    </w:rPr>
  </w:style>
  <w:style w:type="character" w:styleId="986" w:customStyle="1">
    <w:name w:val="Caption Char"/>
    <w:uiPriority w:val="99"/>
  </w:style>
  <w:style w:type="character" w:styleId="987" w:customStyle="1">
    <w:name w:val="Endnote Text Char"/>
    <w:uiPriority w:val="99"/>
    <w:rPr>
      <w:sz w:val="20"/>
    </w:rPr>
  </w:style>
  <w:style w:type="character" w:styleId="988" w:customStyle="1">
    <w:name w:val="Заголовок 1 Знак"/>
    <w:basedOn w:val="854"/>
    <w:link w:val="845"/>
    <w:uiPriority w:val="9"/>
    <w:rPr>
      <w:rFonts w:ascii="Arial" w:hAnsi="Arial" w:eastAsia="Arial" w:cs="Arial"/>
      <w:sz w:val="40"/>
      <w:szCs w:val="40"/>
    </w:rPr>
  </w:style>
  <w:style w:type="character" w:styleId="989" w:customStyle="1">
    <w:name w:val="Заголовок 2 Знак"/>
    <w:basedOn w:val="854"/>
    <w:link w:val="846"/>
    <w:uiPriority w:val="9"/>
    <w:rPr>
      <w:rFonts w:ascii="Arial" w:hAnsi="Arial" w:eastAsia="Arial" w:cs="Arial"/>
      <w:sz w:val="34"/>
    </w:rPr>
  </w:style>
  <w:style w:type="character" w:styleId="990" w:customStyle="1">
    <w:name w:val="Заголовок 3 Знак"/>
    <w:basedOn w:val="854"/>
    <w:link w:val="847"/>
    <w:uiPriority w:val="9"/>
    <w:rPr>
      <w:rFonts w:ascii="Arial" w:hAnsi="Arial" w:eastAsia="Arial" w:cs="Arial"/>
      <w:sz w:val="30"/>
      <w:szCs w:val="30"/>
    </w:rPr>
  </w:style>
  <w:style w:type="character" w:styleId="991" w:customStyle="1">
    <w:name w:val="Заголовок 4 Знак"/>
    <w:basedOn w:val="854"/>
    <w:link w:val="848"/>
    <w:uiPriority w:val="9"/>
    <w:rPr>
      <w:rFonts w:ascii="Arial" w:hAnsi="Arial" w:eastAsia="Arial" w:cs="Arial"/>
      <w:b/>
      <w:bCs/>
      <w:sz w:val="26"/>
      <w:szCs w:val="26"/>
    </w:rPr>
  </w:style>
  <w:style w:type="character" w:styleId="992" w:customStyle="1">
    <w:name w:val="Заголовок 5 Знак"/>
    <w:basedOn w:val="854"/>
    <w:link w:val="849"/>
    <w:uiPriority w:val="9"/>
    <w:rPr>
      <w:rFonts w:ascii="Arial" w:hAnsi="Arial" w:eastAsia="Arial" w:cs="Arial"/>
      <w:b/>
      <w:bCs/>
      <w:sz w:val="24"/>
      <w:szCs w:val="24"/>
    </w:rPr>
  </w:style>
  <w:style w:type="character" w:styleId="993" w:customStyle="1">
    <w:name w:val="Заголовок 6 Знак"/>
    <w:basedOn w:val="854"/>
    <w:link w:val="850"/>
    <w:uiPriority w:val="9"/>
    <w:rPr>
      <w:rFonts w:ascii="Arial" w:hAnsi="Arial" w:eastAsia="Arial" w:cs="Arial"/>
      <w:b/>
      <w:bCs/>
      <w:sz w:val="22"/>
      <w:szCs w:val="22"/>
    </w:rPr>
  </w:style>
  <w:style w:type="character" w:styleId="994" w:customStyle="1">
    <w:name w:val="Заголовок 7 Знак"/>
    <w:basedOn w:val="854"/>
    <w:link w:val="8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95" w:customStyle="1">
    <w:name w:val="Заголовок 8 Знак"/>
    <w:basedOn w:val="854"/>
    <w:link w:val="852"/>
    <w:uiPriority w:val="9"/>
    <w:rPr>
      <w:rFonts w:ascii="Arial" w:hAnsi="Arial" w:eastAsia="Arial" w:cs="Arial"/>
      <w:i/>
      <w:iCs/>
      <w:sz w:val="22"/>
      <w:szCs w:val="22"/>
    </w:rPr>
  </w:style>
  <w:style w:type="character" w:styleId="996" w:customStyle="1">
    <w:name w:val="Заголовок 9 Знак"/>
    <w:basedOn w:val="854"/>
    <w:link w:val="853"/>
    <w:uiPriority w:val="9"/>
    <w:rPr>
      <w:rFonts w:ascii="Arial" w:hAnsi="Arial" w:eastAsia="Arial" w:cs="Arial"/>
      <w:i/>
      <w:iCs/>
      <w:sz w:val="21"/>
      <w:szCs w:val="21"/>
    </w:rPr>
  </w:style>
  <w:style w:type="paragraph" w:styleId="997">
    <w:name w:val="No Spacing"/>
    <w:uiPriority w:val="1"/>
    <w:qFormat/>
    <w:pPr>
      <w:spacing w:after="0" w:line="240" w:lineRule="auto"/>
    </w:pPr>
  </w:style>
  <w:style w:type="paragraph" w:styleId="998">
    <w:name w:val="Title"/>
    <w:basedOn w:val="844"/>
    <w:next w:val="844"/>
    <w:link w:val="999"/>
    <w:uiPriority w:val="10"/>
    <w:qFormat/>
    <w:pPr>
      <w:contextualSpacing/>
      <w:spacing w:before="300"/>
    </w:pPr>
    <w:rPr>
      <w:sz w:val="48"/>
      <w:szCs w:val="48"/>
    </w:rPr>
  </w:style>
  <w:style w:type="character" w:styleId="999" w:customStyle="1">
    <w:name w:val="Заголовок Знак"/>
    <w:basedOn w:val="854"/>
    <w:link w:val="998"/>
    <w:uiPriority w:val="10"/>
    <w:rPr>
      <w:sz w:val="48"/>
      <w:szCs w:val="48"/>
    </w:rPr>
  </w:style>
  <w:style w:type="paragraph" w:styleId="1000">
    <w:name w:val="Subtitle"/>
    <w:basedOn w:val="844"/>
    <w:next w:val="844"/>
    <w:link w:val="1001"/>
    <w:uiPriority w:val="11"/>
    <w:qFormat/>
    <w:pPr>
      <w:spacing w:before="200"/>
    </w:pPr>
    <w:rPr>
      <w:sz w:val="24"/>
      <w:szCs w:val="24"/>
    </w:rPr>
  </w:style>
  <w:style w:type="character" w:styleId="1001" w:customStyle="1">
    <w:name w:val="Подзаголовок Знак"/>
    <w:basedOn w:val="854"/>
    <w:link w:val="1000"/>
    <w:uiPriority w:val="11"/>
    <w:rPr>
      <w:sz w:val="24"/>
      <w:szCs w:val="24"/>
    </w:rPr>
  </w:style>
  <w:style w:type="paragraph" w:styleId="1002">
    <w:name w:val="Quote"/>
    <w:basedOn w:val="844"/>
    <w:next w:val="844"/>
    <w:link w:val="1003"/>
    <w:uiPriority w:val="29"/>
    <w:qFormat/>
    <w:pPr>
      <w:ind w:left="720" w:right="720"/>
    </w:pPr>
    <w:rPr>
      <w:i/>
    </w:rPr>
  </w:style>
  <w:style w:type="character" w:styleId="1003" w:customStyle="1">
    <w:name w:val="Цитата 2 Знак"/>
    <w:link w:val="1002"/>
    <w:uiPriority w:val="29"/>
    <w:rPr>
      <w:i/>
    </w:rPr>
  </w:style>
  <w:style w:type="paragraph" w:styleId="1004">
    <w:name w:val="Intense Quote"/>
    <w:basedOn w:val="844"/>
    <w:next w:val="844"/>
    <w:link w:val="100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005" w:customStyle="1">
    <w:name w:val="Выделенная цитата Знак"/>
    <w:link w:val="1004"/>
    <w:uiPriority w:val="30"/>
    <w:rPr>
      <w:i/>
    </w:rPr>
  </w:style>
  <w:style w:type="character" w:styleId="1006" w:customStyle="1">
    <w:name w:val="Header Char"/>
    <w:basedOn w:val="854"/>
    <w:uiPriority w:val="99"/>
  </w:style>
  <w:style w:type="paragraph" w:styleId="1007">
    <w:name w:val="Footer"/>
    <w:basedOn w:val="844"/>
    <w:link w:val="101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008" w:customStyle="1">
    <w:name w:val="Footer Char"/>
    <w:basedOn w:val="854"/>
    <w:uiPriority w:val="99"/>
  </w:style>
  <w:style w:type="paragraph" w:styleId="1009">
    <w:name w:val="Caption"/>
    <w:basedOn w:val="844"/>
    <w:next w:val="844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1010" w:customStyle="1">
    <w:name w:val="Нижний колонтитул Знак"/>
    <w:link w:val="1007"/>
    <w:uiPriority w:val="99"/>
  </w:style>
  <w:style w:type="table" w:styleId="1011" w:customStyle="1">
    <w:name w:val="Table Grid Light1"/>
    <w:basedOn w:val="85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012">
    <w:name w:val="Plain Table 1"/>
    <w:basedOn w:val="85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13">
    <w:name w:val="Plain Table 2"/>
    <w:basedOn w:val="85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14">
    <w:name w:val="Plain Table 3"/>
    <w:basedOn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015">
    <w:name w:val="Plain Table 4"/>
    <w:basedOn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6">
    <w:name w:val="Plain Table 5"/>
    <w:basedOn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017">
    <w:name w:val="Grid Table 1 Light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8" w:customStyle="1">
    <w:name w:val="Grid Table 1 Light - Accent 1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9" w:customStyle="1">
    <w:name w:val="Grid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0" w:customStyle="1">
    <w:name w:val="Grid Table 1 Light - Accent 3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1" w:customStyle="1">
    <w:name w:val="Grid Table 1 Light - Accent 4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2" w:customStyle="1">
    <w:name w:val="Grid Table 1 Light - Accent 5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3" w:customStyle="1">
    <w:name w:val="Grid Table 1 Light - Accent 6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4">
    <w:name w:val="Grid Table 2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5" w:customStyle="1">
    <w:name w:val="Grid Table 2 - Accent 1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6" w:customStyle="1">
    <w:name w:val="Grid Table 2 - Accent 2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7" w:customStyle="1">
    <w:name w:val="Grid Table 2 - Accent 3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8" w:customStyle="1">
    <w:name w:val="Grid Table 2 - Accent 4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9" w:customStyle="1">
    <w:name w:val="Grid Table 2 - Accent 5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0" w:customStyle="1">
    <w:name w:val="Grid Table 2 - Accent 6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1">
    <w:name w:val="Grid Table 3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2" w:customStyle="1">
    <w:name w:val="Grid Table 3 - Accent 1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3" w:customStyle="1">
    <w:name w:val="Grid Table 3 - Accent 2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4" w:customStyle="1">
    <w:name w:val="Grid Table 3 - Accent 3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5" w:customStyle="1">
    <w:name w:val="Grid Table 3 - Accent 4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6" w:customStyle="1">
    <w:name w:val="Grid Table 3 - Accent 5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7" w:customStyle="1">
    <w:name w:val="Grid Table 3 - Accent 6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8">
    <w:name w:val="Grid Table 4"/>
    <w:basedOn w:val="8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039" w:customStyle="1">
    <w:name w:val="Grid Table 4 - Accent 11"/>
    <w:basedOn w:val="8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1040" w:customStyle="1">
    <w:name w:val="Grid Table 4 - Accent 21"/>
    <w:basedOn w:val="8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1041" w:customStyle="1">
    <w:name w:val="Grid Table 4 - Accent 31"/>
    <w:basedOn w:val="8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1042" w:customStyle="1">
    <w:name w:val="Grid Table 4 - Accent 41"/>
    <w:basedOn w:val="8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1043" w:customStyle="1">
    <w:name w:val="Grid Table 4 - Accent 51"/>
    <w:basedOn w:val="8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1044" w:customStyle="1">
    <w:name w:val="Grid Table 4 - Accent 61"/>
    <w:basedOn w:val="8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1045">
    <w:name w:val="Grid Table 5 Dark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046" w:customStyle="1">
    <w:name w:val="Grid Table 5 Dark- Accent 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1047" w:customStyle="1">
    <w:name w:val="Grid Table 5 Dark - Accent 2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1048" w:customStyle="1">
    <w:name w:val="Grid Table 5 Dark - Accent 3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1049" w:customStyle="1">
    <w:name w:val="Grid Table 5 Dark- Accent 4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1050" w:customStyle="1">
    <w:name w:val="Grid Table 5 Dark - Accent 5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1051" w:customStyle="1">
    <w:name w:val="Grid Table 5 Dark - Accent 6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1052">
    <w:name w:val="Grid Table 6 Colorful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053" w:customStyle="1">
    <w:name w:val="Grid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1054" w:customStyle="1">
    <w:name w:val="Grid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1055" w:customStyle="1">
    <w:name w:val="Grid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1056" w:customStyle="1">
    <w:name w:val="Grid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1057" w:customStyle="1">
    <w:name w:val="Grid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1058" w:customStyle="1">
    <w:name w:val="Grid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1059">
    <w:name w:val="Grid Table 7 Colorful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0" w:customStyle="1">
    <w:name w:val="Grid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1" w:customStyle="1">
    <w:name w:val="Grid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2" w:customStyle="1">
    <w:name w:val="Grid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3" w:customStyle="1">
    <w:name w:val="Grid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4" w:customStyle="1">
    <w:name w:val="Grid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5" w:customStyle="1">
    <w:name w:val="Grid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6">
    <w:name w:val="List Table 1 Light"/>
    <w:basedOn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7" w:customStyle="1">
    <w:name w:val="List Table 1 Light - Accent 11"/>
    <w:basedOn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8" w:customStyle="1">
    <w:name w:val="List Table 1 Light - Accent 21"/>
    <w:basedOn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9" w:customStyle="1">
    <w:name w:val="List Table 1 Light - Accent 31"/>
    <w:basedOn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0" w:customStyle="1">
    <w:name w:val="List Table 1 Light - Accent 41"/>
    <w:basedOn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1" w:customStyle="1">
    <w:name w:val="List Table 1 Light - Accent 51"/>
    <w:basedOn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2" w:customStyle="1">
    <w:name w:val="List Table 1 Light - Accent 61"/>
    <w:basedOn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3">
    <w:name w:val="List Table 2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074" w:customStyle="1">
    <w:name w:val="List Table 2 - Accent 1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1075" w:customStyle="1">
    <w:name w:val="List Table 2 - Accent 2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1076" w:customStyle="1">
    <w:name w:val="List Table 2 - Accent 3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1077" w:customStyle="1">
    <w:name w:val="List Table 2 - Accent 4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1078" w:customStyle="1">
    <w:name w:val="List Table 2 - Accent 5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1079" w:customStyle="1">
    <w:name w:val="List Table 2 - Accent 6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1080">
    <w:name w:val="List Table 3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1" w:customStyle="1">
    <w:name w:val="List Table 3 - Accent 1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2" w:customStyle="1">
    <w:name w:val="List Table 3 - Accent 2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3" w:customStyle="1">
    <w:name w:val="List Table 3 - Accent 3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4" w:customStyle="1">
    <w:name w:val="List Table 3 - Accent 4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5" w:customStyle="1">
    <w:name w:val="List Table 3 - Accent 5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6" w:customStyle="1">
    <w:name w:val="List Table 3 - Accent 6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7">
    <w:name w:val="List Table 4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8" w:customStyle="1">
    <w:name w:val="List Table 4 - Accent 1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9" w:customStyle="1">
    <w:name w:val="List Table 4 - Accent 2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0" w:customStyle="1">
    <w:name w:val="List Table 4 - Accent 3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1" w:customStyle="1">
    <w:name w:val="List Table 4 - Accent 4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2" w:customStyle="1">
    <w:name w:val="List Table 4 - Accent 5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3" w:customStyle="1">
    <w:name w:val="List Table 4 - Accent 6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4">
    <w:name w:val="List Table 5 Dark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95" w:customStyle="1">
    <w:name w:val="List Table 5 Dark - Accent 1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96" w:customStyle="1">
    <w:name w:val="List Table 5 Dark - Accent 2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97" w:customStyle="1">
    <w:name w:val="List Table 5 Dark - Accent 3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98" w:customStyle="1">
    <w:name w:val="List Table 5 Dark - Accent 4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99" w:customStyle="1">
    <w:name w:val="List Table 5 Dark - Accent 5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00" w:customStyle="1">
    <w:name w:val="List Table 5 Dark - Accent 6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101">
    <w:name w:val="List Table 6 Colorful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102" w:customStyle="1">
    <w:name w:val="List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1103" w:customStyle="1">
    <w:name w:val="List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1104" w:customStyle="1">
    <w:name w:val="List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1105" w:customStyle="1">
    <w:name w:val="List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1106" w:customStyle="1">
    <w:name w:val="List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1107" w:customStyle="1">
    <w:name w:val="List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1108">
    <w:name w:val="List Table 7 Colorful"/>
    <w:basedOn w:val="8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9" w:customStyle="1">
    <w:name w:val="List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0" w:customStyle="1">
    <w:name w:val="List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1" w:customStyle="1">
    <w:name w:val="List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2" w:customStyle="1">
    <w:name w:val="List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3" w:customStyle="1">
    <w:name w:val="List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4" w:customStyle="1">
    <w:name w:val="List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5" w:customStyle="1">
    <w:name w:val="Lined - Accent"/>
    <w:basedOn w:val="8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116" w:customStyle="1">
    <w:name w:val="Lined - Accent 1"/>
    <w:basedOn w:val="8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1117" w:customStyle="1">
    <w:name w:val="Lined - Accent 2"/>
    <w:basedOn w:val="8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118" w:customStyle="1">
    <w:name w:val="Lined - Accent 3"/>
    <w:basedOn w:val="8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119" w:customStyle="1">
    <w:name w:val="Lined - Accent 4"/>
    <w:basedOn w:val="8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120" w:customStyle="1">
    <w:name w:val="Lined - Accent 5"/>
    <w:basedOn w:val="8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1121" w:customStyle="1">
    <w:name w:val="Lined - Accent 6"/>
    <w:basedOn w:val="8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122" w:customStyle="1">
    <w:name w:val="Bordered &amp; Lined - Accent"/>
    <w:basedOn w:val="8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123" w:customStyle="1">
    <w:name w:val="Bordered &amp; Lined - Accent 1"/>
    <w:basedOn w:val="8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1124" w:customStyle="1">
    <w:name w:val="Bordered &amp; Lined - Accent 2"/>
    <w:basedOn w:val="8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125" w:customStyle="1">
    <w:name w:val="Bordered &amp; Lined - Accent 3"/>
    <w:basedOn w:val="8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126" w:customStyle="1">
    <w:name w:val="Bordered &amp; Lined - Accent 4"/>
    <w:basedOn w:val="8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127" w:customStyle="1">
    <w:name w:val="Bordered &amp; Lined - Accent 5"/>
    <w:basedOn w:val="8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1128" w:customStyle="1">
    <w:name w:val="Bordered &amp; Lined - Accent 6"/>
    <w:basedOn w:val="8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129" w:customStyle="1">
    <w:name w:val="Bordered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130" w:customStyle="1">
    <w:name w:val="Bordered - Accent 1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1131" w:customStyle="1">
    <w:name w:val="Bordered - Accent 2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1132" w:customStyle="1">
    <w:name w:val="Bordered - Accent 3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1133" w:customStyle="1">
    <w:name w:val="Bordered - Accent 4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1134" w:customStyle="1">
    <w:name w:val="Bordered - Accent 5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1135" w:customStyle="1">
    <w:name w:val="Bordered - Accent 6"/>
    <w:basedOn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1136" w:customStyle="1">
    <w:name w:val="Footnote Text Char"/>
    <w:uiPriority w:val="99"/>
    <w:rPr>
      <w:sz w:val="18"/>
    </w:rPr>
  </w:style>
  <w:style w:type="paragraph" w:styleId="1137">
    <w:name w:val="endnote text"/>
    <w:basedOn w:val="844"/>
    <w:link w:val="1138"/>
    <w:uiPriority w:val="99"/>
    <w:semiHidden/>
    <w:unhideWhenUsed/>
    <w:pPr>
      <w:spacing w:after="0" w:line="240" w:lineRule="auto"/>
    </w:pPr>
    <w:rPr>
      <w:sz w:val="20"/>
    </w:rPr>
  </w:style>
  <w:style w:type="character" w:styleId="1138" w:customStyle="1">
    <w:name w:val="Текст концевой сноски Знак"/>
    <w:link w:val="1137"/>
    <w:uiPriority w:val="99"/>
    <w:rPr>
      <w:sz w:val="20"/>
    </w:rPr>
  </w:style>
  <w:style w:type="character" w:styleId="1139">
    <w:name w:val="endnote reference"/>
    <w:basedOn w:val="854"/>
    <w:uiPriority w:val="99"/>
    <w:semiHidden/>
    <w:unhideWhenUsed/>
    <w:rPr>
      <w:vertAlign w:val="superscript"/>
    </w:rPr>
  </w:style>
  <w:style w:type="paragraph" w:styleId="1140">
    <w:name w:val="toc 1"/>
    <w:basedOn w:val="844"/>
    <w:next w:val="844"/>
    <w:uiPriority w:val="39"/>
    <w:unhideWhenUsed/>
    <w:pPr>
      <w:spacing w:after="57"/>
    </w:pPr>
  </w:style>
  <w:style w:type="paragraph" w:styleId="1141">
    <w:name w:val="toc 2"/>
    <w:basedOn w:val="844"/>
    <w:next w:val="844"/>
    <w:uiPriority w:val="39"/>
    <w:unhideWhenUsed/>
    <w:pPr>
      <w:ind w:left="283"/>
      <w:spacing w:after="57"/>
    </w:pPr>
  </w:style>
  <w:style w:type="paragraph" w:styleId="1142">
    <w:name w:val="toc 3"/>
    <w:basedOn w:val="844"/>
    <w:next w:val="844"/>
    <w:uiPriority w:val="39"/>
    <w:unhideWhenUsed/>
    <w:pPr>
      <w:ind w:left="567"/>
      <w:spacing w:after="57"/>
    </w:pPr>
  </w:style>
  <w:style w:type="paragraph" w:styleId="1143">
    <w:name w:val="toc 4"/>
    <w:basedOn w:val="844"/>
    <w:next w:val="844"/>
    <w:uiPriority w:val="39"/>
    <w:unhideWhenUsed/>
    <w:pPr>
      <w:ind w:left="850"/>
      <w:spacing w:after="57"/>
    </w:pPr>
  </w:style>
  <w:style w:type="paragraph" w:styleId="1144">
    <w:name w:val="toc 5"/>
    <w:basedOn w:val="844"/>
    <w:next w:val="844"/>
    <w:uiPriority w:val="39"/>
    <w:unhideWhenUsed/>
    <w:pPr>
      <w:ind w:left="1134"/>
      <w:spacing w:after="57"/>
    </w:pPr>
  </w:style>
  <w:style w:type="paragraph" w:styleId="1145">
    <w:name w:val="toc 6"/>
    <w:basedOn w:val="844"/>
    <w:next w:val="844"/>
    <w:uiPriority w:val="39"/>
    <w:unhideWhenUsed/>
    <w:pPr>
      <w:ind w:left="1417"/>
      <w:spacing w:after="57"/>
    </w:pPr>
  </w:style>
  <w:style w:type="paragraph" w:styleId="1146">
    <w:name w:val="toc 7"/>
    <w:basedOn w:val="844"/>
    <w:next w:val="844"/>
    <w:uiPriority w:val="39"/>
    <w:unhideWhenUsed/>
    <w:pPr>
      <w:ind w:left="1701"/>
      <w:spacing w:after="57"/>
    </w:pPr>
  </w:style>
  <w:style w:type="paragraph" w:styleId="1147">
    <w:name w:val="toc 8"/>
    <w:basedOn w:val="844"/>
    <w:next w:val="844"/>
    <w:uiPriority w:val="39"/>
    <w:unhideWhenUsed/>
    <w:pPr>
      <w:ind w:left="1984"/>
      <w:spacing w:after="57"/>
    </w:pPr>
  </w:style>
  <w:style w:type="paragraph" w:styleId="1148">
    <w:name w:val="toc 9"/>
    <w:basedOn w:val="844"/>
    <w:next w:val="844"/>
    <w:uiPriority w:val="39"/>
    <w:unhideWhenUsed/>
    <w:pPr>
      <w:ind w:left="2268"/>
      <w:spacing w:after="57"/>
    </w:pPr>
  </w:style>
  <w:style w:type="paragraph" w:styleId="1149">
    <w:name w:val="TOC Heading"/>
    <w:uiPriority w:val="39"/>
    <w:unhideWhenUsed/>
  </w:style>
  <w:style w:type="paragraph" w:styleId="1150">
    <w:name w:val="table of figures"/>
    <w:basedOn w:val="844"/>
    <w:next w:val="844"/>
    <w:uiPriority w:val="99"/>
    <w:unhideWhenUsed/>
    <w:pPr>
      <w:spacing w:after="0"/>
    </w:pPr>
  </w:style>
  <w:style w:type="paragraph" w:styleId="1151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1152">
    <w:name w:val="Header"/>
    <w:basedOn w:val="844"/>
    <w:link w:val="115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153" w:customStyle="1">
    <w:name w:val="Верхний колонтитул Знак"/>
    <w:basedOn w:val="854"/>
    <w:link w:val="1152"/>
    <w:uiPriority w:val="99"/>
  </w:style>
  <w:style w:type="character" w:styleId="1154">
    <w:name w:val="Hyperlink"/>
    <w:basedOn w:val="854"/>
    <w:uiPriority w:val="99"/>
    <w:unhideWhenUsed/>
    <w:rPr>
      <w:color w:val="0563c1" w:themeColor="hyperlink"/>
      <w:u w:val="single"/>
    </w:rPr>
  </w:style>
  <w:style w:type="paragraph" w:styleId="1155">
    <w:name w:val="footnote text"/>
    <w:basedOn w:val="844"/>
    <w:link w:val="115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1156" w:customStyle="1">
    <w:name w:val="Текст сноски Знак"/>
    <w:basedOn w:val="854"/>
    <w:link w:val="1155"/>
    <w:uiPriority w:val="99"/>
    <w:semiHidden/>
    <w:rPr>
      <w:sz w:val="20"/>
      <w:szCs w:val="20"/>
    </w:rPr>
  </w:style>
  <w:style w:type="character" w:styleId="1157">
    <w:name w:val="footnote reference"/>
    <w:basedOn w:val="854"/>
    <w:uiPriority w:val="99"/>
    <w:semiHidden/>
    <w:unhideWhenUsed/>
    <w:rPr>
      <w:vertAlign w:val="superscript"/>
    </w:rPr>
  </w:style>
  <w:style w:type="paragraph" w:styleId="1158">
    <w:name w:val="List Paragraph"/>
    <w:basedOn w:val="844"/>
    <w:uiPriority w:val="34"/>
    <w:qFormat/>
    <w:pPr>
      <w:contextualSpacing/>
      <w:ind w:left="720"/>
    </w:pPr>
  </w:style>
  <w:style w:type="table" w:styleId="1159">
    <w:name w:val="Table Grid"/>
    <w:basedOn w:val="855"/>
    <w:uiPriority w:val="59"/>
    <w:unhideWhenUsed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160" w:customStyle="1">
    <w:name w:val="Standard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PT Sans" w:hAnsi="PT Sans" w:eastAsia="Tahoma" w:cs="Noto Sans Devanagari"/>
      <w:sz w:val="24"/>
      <w:szCs w:val="24"/>
      <w:lang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hyperlink" Target="https://mumcfm.ru/partners" TargetMode="External"/><Relationship Id="rId14" Type="http://schemas.openxmlformats.org/officeDocument/2006/relationships/hyperlink" Target="https://mumcfm.ru/partners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13</cp:revision>
  <dcterms:created xsi:type="dcterms:W3CDTF">2022-10-24T10:50:00Z</dcterms:created>
  <dcterms:modified xsi:type="dcterms:W3CDTF">2022-11-14T06:53:25Z</dcterms:modified>
</cp:coreProperties>
</file>